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0F" w:rsidRDefault="0028380F">
      <w:bookmarkStart w:id="0" w:name="_GoBack"/>
      <w:bookmarkEnd w:id="0"/>
    </w:p>
    <w:p w:rsidR="004C3B45" w:rsidRPr="004C3B45" w:rsidRDefault="004C3B45" w:rsidP="004C3B45">
      <w:pPr>
        <w:jc w:val="both"/>
        <w:rPr>
          <w:rFonts w:ascii="robotolight" w:eastAsia="Times New Roman" w:hAnsi="robotolight" w:cs="Times New Roman"/>
          <w:sz w:val="27"/>
          <w:szCs w:val="27"/>
          <w:lang w:eastAsia="es-CO"/>
        </w:rPr>
      </w:pPr>
      <w:r w:rsidRPr="004C3B45">
        <w:rPr>
          <w:rFonts w:ascii="robotolight" w:eastAsia="Times New Roman" w:hAnsi="robotolight" w:cs="Times New Roman"/>
          <w:b/>
          <w:sz w:val="27"/>
          <w:szCs w:val="27"/>
          <w:lang w:eastAsia="es-CO"/>
        </w:rPr>
        <w:t>Entidad:</w:t>
      </w:r>
      <w:r w:rsidRPr="004C3B45"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 Unidad Administrativa Especial de Servicios Públicos -UAESP</w:t>
      </w:r>
    </w:p>
    <w:p w:rsidR="002136C1" w:rsidRPr="002136C1" w:rsidRDefault="00223E8D" w:rsidP="00681329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Se publicó el </w:t>
      </w:r>
      <w:r w:rsidR="0046107C" w:rsidRPr="0046107C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Documento Técnico para la </w:t>
      </w:r>
      <w:r w:rsidR="00E87D37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a</w:t>
      </w:r>
      <w:r w:rsidR="0046107C" w:rsidRPr="0046107C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ctividad de </w:t>
      </w:r>
      <w:r w:rsidR="00E87D37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a</w:t>
      </w:r>
      <w:r w:rsidR="0046107C" w:rsidRPr="0046107C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provechamiento en el marco del </w:t>
      </w:r>
      <w:r w:rsidR="00E87D37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s</w:t>
      </w:r>
      <w:r w:rsidR="0046107C" w:rsidRPr="0046107C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ervicio </w:t>
      </w:r>
      <w:r w:rsidR="00E87D37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p</w:t>
      </w:r>
      <w:r w:rsidR="0046107C" w:rsidRPr="0046107C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úblico de </w:t>
      </w:r>
      <w:r w:rsidR="00E87D37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a</w:t>
      </w:r>
      <w:r w:rsidR="0046107C" w:rsidRPr="0046107C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seo</w:t>
      </w:r>
      <w:r w:rsidR="00454EB0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</w:t>
      </w:r>
      <w:r w:rsidR="0028380F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con el objetivo de recibir </w:t>
      </w:r>
      <w:r w:rsidR="00E87D37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los comentarios de la </w:t>
      </w:r>
      <w:r w:rsidR="0028380F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ciudadan</w:t>
      </w:r>
      <w:r w:rsidR="00E87D37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ía</w:t>
      </w:r>
      <w:r w:rsidR="0028380F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. Para el efecto se estipul</w:t>
      </w:r>
      <w:r w:rsidR="00E87D37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ó</w:t>
      </w:r>
      <w:r w:rsidR="0028380F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el recibo de dichas sugerencias a</w:t>
      </w:r>
      <w:r w:rsidR="00275794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</w:t>
      </w:r>
      <w:r w:rsidR="002136C1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l</w:t>
      </w:r>
      <w:r w:rsidR="00275794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os correos</w:t>
      </w:r>
      <w:r w:rsidR="00622343" w:rsidRPr="00681329">
        <w:rPr>
          <w:rFonts w:ascii="robotolight" w:eastAsia="Times New Roman" w:hAnsi="robotolight" w:cs="Times New Roman"/>
          <w:sz w:val="27"/>
          <w:szCs w:val="27"/>
          <w:lang w:eastAsia="es-CO"/>
        </w:rPr>
        <w:t> </w:t>
      </w:r>
      <w:r w:rsidR="00275794">
        <w:rPr>
          <w:rFonts w:ascii="robotolight" w:eastAsia="Times New Roman" w:hAnsi="robotolight" w:cs="Times New Roman"/>
          <w:sz w:val="27"/>
          <w:szCs w:val="27"/>
          <w:u w:val="single"/>
          <w:lang w:eastAsia="es-CO"/>
        </w:rPr>
        <w:t>andres</w:t>
      </w:r>
      <w:r w:rsidR="00681329" w:rsidRPr="00681329">
        <w:rPr>
          <w:rFonts w:ascii="robotolight" w:eastAsia="Times New Roman" w:hAnsi="robotolight" w:cs="Times New Roman"/>
          <w:sz w:val="27"/>
          <w:szCs w:val="27"/>
          <w:u w:val="single"/>
          <w:lang w:eastAsia="es-CO"/>
        </w:rPr>
        <w:t>.</w:t>
      </w:r>
      <w:r w:rsidR="00275794">
        <w:rPr>
          <w:rFonts w:ascii="robotolight" w:eastAsia="Times New Roman" w:hAnsi="robotolight" w:cs="Times New Roman"/>
          <w:sz w:val="27"/>
          <w:szCs w:val="27"/>
          <w:u w:val="single"/>
          <w:lang w:eastAsia="es-CO"/>
        </w:rPr>
        <w:t>herrera</w:t>
      </w:r>
      <w:r w:rsidR="00681329" w:rsidRPr="00681329">
        <w:rPr>
          <w:rFonts w:ascii="robotolight" w:eastAsia="Times New Roman" w:hAnsi="robotolight" w:cs="Times New Roman"/>
          <w:sz w:val="27"/>
          <w:szCs w:val="27"/>
          <w:u w:val="single"/>
          <w:lang w:eastAsia="es-CO"/>
        </w:rPr>
        <w:t>@uaesp.gov.co</w:t>
      </w:r>
      <w:r w:rsidR="00622343" w:rsidRPr="00622343">
        <w:rPr>
          <w:rFonts w:ascii="robotolight" w:eastAsia="Times New Roman" w:hAnsi="robotolight" w:cs="Times New Roman"/>
          <w:sz w:val="27"/>
          <w:szCs w:val="27"/>
          <w:lang w:eastAsia="es-CO"/>
        </w:rPr>
        <w:t> </w:t>
      </w:r>
      <w:r w:rsidR="00275794">
        <w:rPr>
          <w:rFonts w:ascii="robotolight" w:eastAsia="Times New Roman" w:hAnsi="robotolight" w:cs="Times New Roman"/>
          <w:sz w:val="27"/>
          <w:szCs w:val="27"/>
          <w:lang w:eastAsia="es-CO"/>
        </w:rPr>
        <w:t>y luz.giraldo</w:t>
      </w:r>
      <w:r w:rsidR="00275794" w:rsidRPr="00681329">
        <w:rPr>
          <w:rFonts w:ascii="robotolight" w:eastAsia="Times New Roman" w:hAnsi="robotolight" w:cs="Times New Roman"/>
          <w:sz w:val="27"/>
          <w:szCs w:val="27"/>
          <w:u w:val="single"/>
          <w:lang w:eastAsia="es-CO"/>
        </w:rPr>
        <w:t>@uaesp.gov.co</w:t>
      </w:r>
      <w:r w:rsidR="00275794" w:rsidRPr="00622343">
        <w:rPr>
          <w:rFonts w:ascii="robotolight" w:eastAsia="Times New Roman" w:hAnsi="robotolight" w:cs="Times New Roman"/>
          <w:sz w:val="27"/>
          <w:szCs w:val="27"/>
          <w:lang w:eastAsia="es-CO"/>
        </w:rPr>
        <w:t> </w:t>
      </w:r>
      <w:r w:rsidR="00622343" w:rsidRPr="00622343"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desde el </w:t>
      </w:r>
      <w:r w:rsidR="00E87D37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3</w:t>
      </w:r>
      <w:r w:rsidR="00681329" w:rsidRPr="002136C1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de </w:t>
      </w:r>
      <w:r w:rsidR="00E87D37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abril</w:t>
      </w:r>
      <w:r w:rsidR="00681329" w:rsidRPr="002136C1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hasta el </w:t>
      </w:r>
      <w:r w:rsidR="00503BAE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1</w:t>
      </w:r>
      <w:r w:rsidR="00681329" w:rsidRPr="002136C1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0 de </w:t>
      </w:r>
      <w:r w:rsidR="00503BAE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abril</w:t>
      </w:r>
      <w:r w:rsidR="002136C1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de 201</w:t>
      </w:r>
      <w:r w:rsidR="00503BAE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9</w:t>
      </w:r>
      <w:r w:rsidR="002136C1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.</w:t>
      </w:r>
      <w:r w:rsidR="00681329" w:rsidRPr="002136C1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</w:t>
      </w:r>
    </w:p>
    <w:p w:rsidR="0028380F" w:rsidRDefault="004C3B45" w:rsidP="00681329">
      <w:pPr>
        <w:jc w:val="both"/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  <w:r w:rsidRPr="004C3B45"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Publicación:</w:t>
      </w:r>
    </w:p>
    <w:p w:rsidR="0028380F" w:rsidRDefault="0028380F" w:rsidP="004C3B45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 w:rsidRPr="004C3B45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Se mantuvo a disposición en la página web de la Unidad Administrativa Especial de Servicios Públicos (</w:t>
      </w:r>
      <w:hyperlink r:id="rId7" w:history="1">
        <w:r w:rsidR="00886528" w:rsidRPr="009A1595">
          <w:rPr>
            <w:rStyle w:val="Hipervnculo"/>
            <w:rFonts w:ascii="robotolight" w:eastAsia="Times New Roman" w:hAnsi="robotolight" w:cs="Times New Roman"/>
            <w:bCs/>
            <w:sz w:val="27"/>
            <w:szCs w:val="27"/>
            <w:lang w:eastAsia="es-CO"/>
          </w:rPr>
          <w:t>www.uaesp.gov.co</w:t>
        </w:r>
      </w:hyperlink>
      <w:r w:rsidRPr="004C3B45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)</w:t>
      </w:r>
      <w:r w:rsidR="00886528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desde el </w:t>
      </w:r>
      <w:r w:rsidR="00275794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3</w:t>
      </w:r>
      <w:r w:rsidR="009E7E8B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de </w:t>
      </w:r>
      <w:r w:rsidR="00275794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abril</w:t>
      </w:r>
      <w:r w:rsidR="00886528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de 201</w:t>
      </w:r>
      <w:r w:rsidR="00275794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9</w:t>
      </w:r>
      <w:r w:rsidR="00886528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, tal como se presenta </w:t>
      </w:r>
      <w:r w:rsidR="00622343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a continuación:</w:t>
      </w:r>
    </w:p>
    <w:p w:rsidR="009E7E8B" w:rsidRDefault="009E7E8B" w:rsidP="004C3B45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</w:p>
    <w:p w:rsidR="00622343" w:rsidRPr="009E7E8B" w:rsidRDefault="009E7E8B" w:rsidP="00886528">
      <w:pPr>
        <w:jc w:val="both"/>
        <w:rPr>
          <w:rStyle w:val="Hipervnculo"/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 w:rsidRPr="009E7E8B">
        <w:rPr>
          <w:rStyle w:val="Hipervnculo"/>
          <w:rFonts w:ascii="robotolight" w:eastAsia="Times New Roman" w:hAnsi="robotolight" w:cs="Times New Roman"/>
          <w:bCs/>
          <w:sz w:val="27"/>
          <w:szCs w:val="27"/>
          <w:lang w:eastAsia="es-CO"/>
        </w:rPr>
        <w:t>http://www.uaesp.gov.co/</w:t>
      </w:r>
      <w:r w:rsidR="00E87D37">
        <w:rPr>
          <w:rStyle w:val="Hipervnculo"/>
          <w:rFonts w:ascii="robotolight" w:eastAsia="Times New Roman" w:hAnsi="robotolight" w:cs="Times New Roman"/>
          <w:bCs/>
          <w:sz w:val="27"/>
          <w:szCs w:val="27"/>
          <w:lang w:eastAsia="es-CO"/>
        </w:rPr>
        <w:t>content</w:t>
      </w:r>
      <w:r w:rsidRPr="009E7E8B">
        <w:rPr>
          <w:rStyle w:val="Hipervnculo"/>
          <w:rFonts w:ascii="robotolight" w:eastAsia="Times New Roman" w:hAnsi="robotolight" w:cs="Times New Roman"/>
          <w:bCs/>
          <w:sz w:val="27"/>
          <w:szCs w:val="27"/>
          <w:lang w:eastAsia="es-CO"/>
        </w:rPr>
        <w:t>/proyecto-</w:t>
      </w:r>
      <w:r w:rsidR="00E87D37">
        <w:rPr>
          <w:rStyle w:val="Hipervnculo"/>
          <w:rFonts w:ascii="robotolight" w:eastAsia="Times New Roman" w:hAnsi="robotolight" w:cs="Times New Roman"/>
          <w:bCs/>
          <w:sz w:val="27"/>
          <w:szCs w:val="27"/>
          <w:lang w:eastAsia="es-CO"/>
        </w:rPr>
        <w:t>documento</w:t>
      </w:r>
      <w:r w:rsidRPr="009E7E8B">
        <w:rPr>
          <w:rStyle w:val="Hipervnculo"/>
          <w:rFonts w:ascii="robotolight" w:eastAsia="Times New Roman" w:hAnsi="robotolight" w:cs="Times New Roman"/>
          <w:bCs/>
          <w:sz w:val="27"/>
          <w:szCs w:val="27"/>
          <w:lang w:eastAsia="es-CO"/>
        </w:rPr>
        <w:t>-</w:t>
      </w:r>
      <w:r w:rsidR="00E87D37">
        <w:rPr>
          <w:rStyle w:val="Hipervnculo"/>
          <w:rFonts w:ascii="robotolight" w:eastAsia="Times New Roman" w:hAnsi="robotolight" w:cs="Times New Roman"/>
          <w:bCs/>
          <w:sz w:val="27"/>
          <w:szCs w:val="27"/>
          <w:lang w:eastAsia="es-CO"/>
        </w:rPr>
        <w:t>tecnico</w:t>
      </w:r>
      <w:r w:rsidRPr="009E7E8B">
        <w:rPr>
          <w:rStyle w:val="Hipervnculo"/>
          <w:rFonts w:ascii="robotolight" w:eastAsia="Times New Roman" w:hAnsi="robotolight" w:cs="Times New Roman"/>
          <w:bCs/>
          <w:sz w:val="27"/>
          <w:szCs w:val="27"/>
          <w:lang w:eastAsia="es-CO"/>
        </w:rPr>
        <w:t>-</w:t>
      </w:r>
      <w:r w:rsidR="00E87D37">
        <w:rPr>
          <w:rStyle w:val="Hipervnculo"/>
          <w:rFonts w:ascii="robotolight" w:eastAsia="Times New Roman" w:hAnsi="robotolight" w:cs="Times New Roman"/>
          <w:bCs/>
          <w:sz w:val="27"/>
          <w:szCs w:val="27"/>
          <w:lang w:eastAsia="es-CO"/>
        </w:rPr>
        <w:t>la-actividad-aprovechamiento-marco-del-servicio-publico-aseo</w:t>
      </w:r>
    </w:p>
    <w:p w:rsidR="009E7E8B" w:rsidRDefault="009E7E8B" w:rsidP="00886528">
      <w:pPr>
        <w:jc w:val="both"/>
        <w:rPr>
          <w:noProof/>
        </w:rPr>
      </w:pPr>
    </w:p>
    <w:p w:rsidR="00576D5A" w:rsidRDefault="0046107C" w:rsidP="0088652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C1D3346" wp14:editId="0744ED09">
            <wp:extent cx="5911850" cy="3340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858" r="1449" b="8567"/>
                    <a:stretch/>
                  </pic:blipFill>
                  <pic:spPr bwMode="auto">
                    <a:xfrm>
                      <a:off x="0" y="0"/>
                      <a:ext cx="5911850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BAE" w:rsidRDefault="00503BAE">
      <w:pP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</w:p>
    <w:p w:rsidR="00503BAE" w:rsidRDefault="00503BAE">
      <w:pP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</w:p>
    <w:p w:rsidR="00503BAE" w:rsidRDefault="00503BAE">
      <w:pP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</w:p>
    <w:p w:rsidR="0028380F" w:rsidRPr="0028380F" w:rsidRDefault="0028380F">
      <w:pP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  <w:r w:rsidRPr="0028380F"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Resultados:</w:t>
      </w:r>
    </w:p>
    <w:p w:rsidR="0028380F" w:rsidRDefault="00E87D37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No se recibieron comentarios sobre el contenido del Documento </w:t>
      </w:r>
      <w:r w:rsidRPr="0046107C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Técnico para la Actividad de Aprovechamiento en el marco del Servicio Público de Aseo</w:t>
      </w:r>
      <w:r w:rsidR="00B07EB7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.</w:t>
      </w:r>
    </w:p>
    <w:p w:rsidR="009E7E8B" w:rsidRDefault="009E7E8B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</w:p>
    <w:p w:rsidR="009E7E8B" w:rsidRDefault="009E7E8B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</w:p>
    <w:p w:rsidR="0054514D" w:rsidRPr="0028380F" w:rsidRDefault="00503BAE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Abril</w:t>
      </w:r>
      <w:r w:rsidR="0054514D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de </w:t>
      </w:r>
      <w:r w:rsidR="009E7E8B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2019</w:t>
      </w:r>
    </w:p>
    <w:p w:rsidR="0028380F" w:rsidRPr="0054514D" w:rsidRDefault="004A64E2">
      <w:pP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Subdirección de Aprovechamiento</w:t>
      </w:r>
    </w:p>
    <w:sectPr w:rsidR="0028380F" w:rsidRPr="0054514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65" w:rsidRDefault="00C12465" w:rsidP="0028380F">
      <w:pPr>
        <w:spacing w:after="0" w:line="240" w:lineRule="auto"/>
      </w:pPr>
      <w:r>
        <w:separator/>
      </w:r>
    </w:p>
  </w:endnote>
  <w:endnote w:type="continuationSeparator" w:id="0">
    <w:p w:rsidR="00C12465" w:rsidRDefault="00C12465" w:rsidP="0028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65" w:rsidRDefault="00C12465" w:rsidP="0028380F">
      <w:pPr>
        <w:spacing w:after="0" w:line="240" w:lineRule="auto"/>
      </w:pPr>
      <w:r>
        <w:separator/>
      </w:r>
    </w:p>
  </w:footnote>
  <w:footnote w:type="continuationSeparator" w:id="0">
    <w:p w:rsidR="00C12465" w:rsidRDefault="00C12465" w:rsidP="0028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0F" w:rsidRPr="0028380F" w:rsidRDefault="0028380F" w:rsidP="0028380F">
    <w:pPr>
      <w:rPr>
        <w:rFonts w:ascii="robotolight" w:eastAsia="Times New Roman" w:hAnsi="robotolight" w:cs="Times New Roman"/>
        <w:sz w:val="27"/>
        <w:szCs w:val="27"/>
        <w:lang w:eastAsia="es-CO"/>
      </w:rPr>
    </w:pPr>
    <w:r>
      <w:rPr>
        <w:noProof/>
      </w:rPr>
      <w:drawing>
        <wp:inline distT="0" distB="0" distL="0" distR="0">
          <wp:extent cx="1145343" cy="6381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abitat- Uae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112" cy="65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Pr="0028380F">
      <w:rPr>
        <w:rFonts w:ascii="robotolight" w:eastAsia="Times New Roman" w:hAnsi="robotolight" w:cs="Times New Roman"/>
        <w:sz w:val="27"/>
        <w:szCs w:val="27"/>
        <w:lang w:eastAsia="es-CO"/>
      </w:rPr>
      <w:t>INFORME GLOBAL DE OBSERVACIONES</w:t>
    </w:r>
  </w:p>
  <w:p w:rsidR="0028380F" w:rsidRDefault="00283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73C5E"/>
    <w:multiLevelType w:val="multilevel"/>
    <w:tmpl w:val="3FAA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0F"/>
    <w:rsid w:val="002136C1"/>
    <w:rsid w:val="00223E8D"/>
    <w:rsid w:val="00275794"/>
    <w:rsid w:val="0028380F"/>
    <w:rsid w:val="0044726C"/>
    <w:rsid w:val="00454EB0"/>
    <w:rsid w:val="00455387"/>
    <w:rsid w:val="0046107C"/>
    <w:rsid w:val="004A64E2"/>
    <w:rsid w:val="004C3B45"/>
    <w:rsid w:val="00503BAE"/>
    <w:rsid w:val="00513BC9"/>
    <w:rsid w:val="0054514D"/>
    <w:rsid w:val="00576536"/>
    <w:rsid w:val="00576D5A"/>
    <w:rsid w:val="00622343"/>
    <w:rsid w:val="00681329"/>
    <w:rsid w:val="00886528"/>
    <w:rsid w:val="009E7E8B"/>
    <w:rsid w:val="009F3047"/>
    <w:rsid w:val="00A23359"/>
    <w:rsid w:val="00AD0B4F"/>
    <w:rsid w:val="00B07EB7"/>
    <w:rsid w:val="00C12465"/>
    <w:rsid w:val="00E44681"/>
    <w:rsid w:val="00E87D37"/>
    <w:rsid w:val="00E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7AE62-14B8-4FB1-A9F3-5F9CDEB2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8380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38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80F"/>
  </w:style>
  <w:style w:type="paragraph" w:styleId="Piedepgina">
    <w:name w:val="footer"/>
    <w:basedOn w:val="Normal"/>
    <w:link w:val="PiedepginaCar"/>
    <w:uiPriority w:val="99"/>
    <w:unhideWhenUsed/>
    <w:rsid w:val="0028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80F"/>
  </w:style>
  <w:style w:type="character" w:styleId="Mencinsinresolver">
    <w:name w:val="Unresolved Mention"/>
    <w:basedOn w:val="Fuentedeprrafopredeter"/>
    <w:uiPriority w:val="99"/>
    <w:semiHidden/>
    <w:unhideWhenUsed/>
    <w:rsid w:val="0088652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aesp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Santiago Delvasto</dc:creator>
  <cp:keywords/>
  <dc:description/>
  <cp:lastModifiedBy>Julio Cesar Mancipe Caicedo</cp:lastModifiedBy>
  <cp:revision>2</cp:revision>
  <cp:lastPrinted>2019-04-23T17:10:00Z</cp:lastPrinted>
  <dcterms:created xsi:type="dcterms:W3CDTF">2019-05-03T01:40:00Z</dcterms:created>
  <dcterms:modified xsi:type="dcterms:W3CDTF">2019-05-03T01:40:00Z</dcterms:modified>
</cp:coreProperties>
</file>