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0F" w:rsidRDefault="0028380F"/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Entidad: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Unidad Administrativa Especial de Servicios Públicos -UAESP</w:t>
      </w:r>
    </w:p>
    <w:p w:rsidR="00622343" w:rsidRDefault="004C3B45" w:rsidP="0028380F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Objetivo del proyecto de acto administrativo: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Reglament</w:t>
      </w:r>
      <w:r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ar 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el Comité </w:t>
      </w:r>
      <w:r w:rsidR="00AD0B4F" w:rsidRPr="00AD0B4F">
        <w:rPr>
          <w:rFonts w:ascii="robotolight" w:eastAsia="Times New Roman" w:hAnsi="robotolight" w:cs="Times New Roman"/>
          <w:sz w:val="27"/>
          <w:szCs w:val="27"/>
          <w:lang w:eastAsia="es-CO"/>
        </w:rPr>
        <w:t>de Seguimiento para el Plan Maestro de Cementerios y Servicios Funerarios y se dictan otras disposiciones”</w:t>
      </w:r>
      <w:r w:rsidR="00622343">
        <w:rPr>
          <w:rFonts w:ascii="robotolight" w:eastAsia="Times New Roman" w:hAnsi="robotolight" w:cs="Times New Roman"/>
          <w:sz w:val="27"/>
          <w:szCs w:val="27"/>
          <w:lang w:eastAsia="es-CO"/>
        </w:rPr>
        <w:t>.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sz w:val="27"/>
          <w:szCs w:val="27"/>
          <w:lang w:eastAsia="es-CO"/>
        </w:rPr>
        <w:t>De acuerdo con lo establecido en el artículo 8 de la Ley 1437 de 2011, se publicó el proyecto de acto administrativo y su correspondiente manifestación de impacto regulatorio por el cual “</w:t>
      </w:r>
      <w:r w:rsidR="00622343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 xml:space="preserve">se reglamenta el Comité de </w:t>
      </w:r>
      <w:r w:rsidR="00AD0B4F" w:rsidRPr="00AD0B4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Seguimiento para el Plan Maestro de Cementerios y Servicios Funerarios</w:t>
      </w:r>
      <w: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”.</w:t>
      </w:r>
    </w:p>
    <w:p w:rsidR="002136C1" w:rsidRPr="002136C1" w:rsidRDefault="0028380F" w:rsidP="00681329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Lo anterior con el objetivo de recibir las opiniones, sugerencia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o propuestas de los ciudadanos. Para el efecto se estipulo el recibo de dichas sugerencias a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Pr="00681329">
        <w:rPr>
          <w:rFonts w:ascii="robotolight" w:eastAsia="Times New Roman" w:hAnsi="robotolight" w:cs="Times New Roman"/>
          <w:sz w:val="27"/>
          <w:szCs w:val="27"/>
          <w:lang w:eastAsia="es-CO"/>
        </w:rPr>
        <w:t>correo</w:t>
      </w:r>
      <w:r w:rsidR="00622343" w:rsidRPr="00681329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681329" w:rsidRPr="00681329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Jeimy.moreno@uaesp.gov.co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 desde el 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12 de diciembre hasta el 20 de diciembre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2018.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</w:p>
    <w:p w:rsidR="002136C1" w:rsidRDefault="002136C1" w:rsidP="00681329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</w:p>
    <w:p w:rsidR="0028380F" w:rsidRDefault="004C3B45" w:rsidP="00681329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Publicación:</w:t>
      </w:r>
    </w:p>
    <w:p w:rsidR="002136C1" w:rsidRPr="004C3B45" w:rsidRDefault="002136C1" w:rsidP="00681329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</w:p>
    <w:p w:rsidR="0028380F" w:rsidRDefault="0028380F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mantuvo a disposición en la página web de la Unidad Administrativa Especial de Servicios Públicos (</w:t>
      </w:r>
      <w:hyperlink r:id="rId7" w:history="1">
        <w:r w:rsidR="00886528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www.uaesp.gov.co</w:t>
        </w:r>
      </w:hyperlink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)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desde el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1</w:t>
      </w:r>
      <w:r w:rsidR="009E7E8B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2 de diciembre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2018, tal como se presenta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 continuación:</w:t>
      </w:r>
    </w:p>
    <w:p w:rsidR="009E7E8B" w:rsidRDefault="009E7E8B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622343" w:rsidRPr="009E7E8B" w:rsidRDefault="009E7E8B" w:rsidP="00886528">
      <w:pPr>
        <w:jc w:val="both"/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9E7E8B">
        <w:rPr>
          <w:rStyle w:val="Hipervnculo"/>
          <w:rFonts w:ascii="robotolight" w:eastAsia="Times New Roman" w:hAnsi="robotolight" w:cs="Times New Roman"/>
          <w:bCs/>
          <w:sz w:val="27"/>
          <w:szCs w:val="27"/>
          <w:lang w:eastAsia="es-CO"/>
        </w:rPr>
        <w:t>http://www.uaesp.gov.co/noticias/proyecto-normativo-observaciones-ciudadanas</w:t>
      </w:r>
    </w:p>
    <w:p w:rsidR="009E7E8B" w:rsidRDefault="009E7E8B" w:rsidP="00886528">
      <w:pPr>
        <w:jc w:val="both"/>
        <w:rPr>
          <w:noProof/>
        </w:rPr>
      </w:pPr>
    </w:p>
    <w:p w:rsidR="00576D5A" w:rsidRDefault="009E7E8B" w:rsidP="00886528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C279C30" wp14:editId="1F01D758">
            <wp:extent cx="5612130" cy="32086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263"/>
                    <a:stretch/>
                  </pic:blipFill>
                  <pic:spPr bwMode="auto">
                    <a:xfrm>
                      <a:off x="0" y="0"/>
                      <a:ext cx="5612130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80F" w:rsidRPr="0028380F" w:rsidRDefault="0028380F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Resultados:</w:t>
      </w:r>
    </w:p>
    <w:p w:rsidR="0028380F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El 24 de diciembre</w:t>
      </w:r>
      <w:r w:rsidR="0028380F" w:rsidRP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recibió el siguiente correo electrónico con observaciones</w:t>
      </w: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noProof/>
          <w:sz w:val="27"/>
          <w:szCs w:val="27"/>
          <w:lang w:eastAsia="es-CO"/>
        </w:rPr>
        <w:drawing>
          <wp:inline distT="0" distB="0" distL="0" distR="0">
            <wp:extent cx="5577840" cy="18288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4D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El cual se respondió el día 8 de enero de 2019 como se evidencia a continuación: </w:t>
      </w: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noProof/>
          <w:sz w:val="27"/>
          <w:szCs w:val="27"/>
          <w:lang w:eastAsia="es-CO"/>
        </w:rPr>
        <w:lastRenderedPageBreak/>
        <w:drawing>
          <wp:inline distT="0" distB="0" distL="0" distR="0">
            <wp:extent cx="5600700" cy="3124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4D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__________________________________________________________</w:t>
      </w: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4514D" w:rsidRPr="0028380F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Enero</w:t>
      </w:r>
      <w:r w:rsidR="0054514D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2019</w:t>
      </w:r>
      <w:bookmarkStart w:id="0" w:name="_GoBack"/>
      <w:bookmarkEnd w:id="0"/>
    </w:p>
    <w:p w:rsidR="0028380F" w:rsidRPr="0054514D" w:rsidRDefault="0054514D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54514D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Oficina Asesora de Planeación</w:t>
      </w:r>
    </w:p>
    <w:sectPr w:rsidR="0028380F" w:rsidRPr="0054514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59" w:rsidRDefault="00A23359" w:rsidP="0028380F">
      <w:pPr>
        <w:spacing w:after="0" w:line="240" w:lineRule="auto"/>
      </w:pPr>
      <w:r>
        <w:separator/>
      </w:r>
    </w:p>
  </w:endnote>
  <w:end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59" w:rsidRDefault="00A23359" w:rsidP="0028380F">
      <w:pPr>
        <w:spacing w:after="0" w:line="240" w:lineRule="auto"/>
      </w:pPr>
      <w:r>
        <w:separator/>
      </w:r>
    </w:p>
  </w:footnote>
  <w:foot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F" w:rsidRPr="0028380F" w:rsidRDefault="0028380F" w:rsidP="0028380F">
    <w:pPr>
      <w:rPr>
        <w:rFonts w:ascii="robotolight" w:eastAsia="Times New Roman" w:hAnsi="robotolight" w:cs="Times New Roman"/>
        <w:sz w:val="27"/>
        <w:szCs w:val="27"/>
        <w:lang w:eastAsia="es-CO"/>
      </w:rPr>
    </w:pPr>
    <w:r>
      <w:rPr>
        <w:noProof/>
      </w:rPr>
      <w:drawing>
        <wp:inline distT="0" distB="0" distL="0" distR="0">
          <wp:extent cx="1145343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itat- Ua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12" cy="65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8380F">
      <w:rPr>
        <w:rFonts w:ascii="robotolight" w:eastAsia="Times New Roman" w:hAnsi="robotolight" w:cs="Times New Roman"/>
        <w:sz w:val="27"/>
        <w:szCs w:val="27"/>
        <w:lang w:eastAsia="es-CO"/>
      </w:rPr>
      <w:t>INFORME GLOBAL DE OBSERVACIONES</w:t>
    </w:r>
  </w:p>
  <w:p w:rsidR="0028380F" w:rsidRDefault="0028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5E"/>
    <w:multiLevelType w:val="multilevel"/>
    <w:tmpl w:val="3F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F"/>
    <w:rsid w:val="002136C1"/>
    <w:rsid w:val="0028380F"/>
    <w:rsid w:val="0044726C"/>
    <w:rsid w:val="00455387"/>
    <w:rsid w:val="004C3B45"/>
    <w:rsid w:val="00513BC9"/>
    <w:rsid w:val="0054514D"/>
    <w:rsid w:val="00576D5A"/>
    <w:rsid w:val="00622343"/>
    <w:rsid w:val="00681329"/>
    <w:rsid w:val="00886528"/>
    <w:rsid w:val="009E7E8B"/>
    <w:rsid w:val="009F3047"/>
    <w:rsid w:val="00A23359"/>
    <w:rsid w:val="00A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D927A"/>
  <w15:chartTrackingRefBased/>
  <w15:docId w15:val="{AFB7AE62-14B8-4FB1-A9F3-5F9CDE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38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0F"/>
  </w:style>
  <w:style w:type="paragraph" w:styleId="Piedepgina">
    <w:name w:val="footer"/>
    <w:basedOn w:val="Normal"/>
    <w:link w:val="Piedepgina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0F"/>
  </w:style>
  <w:style w:type="character" w:styleId="Mencinsinresolver">
    <w:name w:val="Unresolved Mention"/>
    <w:basedOn w:val="Fuentedeprrafopredeter"/>
    <w:uiPriority w:val="99"/>
    <w:semiHidden/>
    <w:unhideWhenUsed/>
    <w:rsid w:val="00886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esp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Jeimy Catalina Moreno Castañeda</cp:lastModifiedBy>
  <cp:revision>4</cp:revision>
  <dcterms:created xsi:type="dcterms:W3CDTF">2019-01-08T19:07:00Z</dcterms:created>
  <dcterms:modified xsi:type="dcterms:W3CDTF">2019-01-08T19:32:00Z</dcterms:modified>
</cp:coreProperties>
</file>