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B841" w14:textId="558AB9A8" w:rsidR="0040433D" w:rsidRPr="009E7B19" w:rsidRDefault="0040433D">
      <w:pPr>
        <w:rPr>
          <w:rFonts w:ascii="Museo Sans Condensed 500" w:hAnsi="Museo Sans Condensed 500"/>
        </w:rPr>
      </w:pPr>
    </w:p>
    <w:p w14:paraId="4BECA3C5" w14:textId="7C076B1C" w:rsidR="0040433D" w:rsidRPr="009E7B19" w:rsidRDefault="006F6859">
      <w:pPr>
        <w:rPr>
          <w:rFonts w:cstheme="minorHAnsi"/>
          <w:b/>
          <w:bCs/>
          <w:sz w:val="72"/>
          <w:szCs w:val="72"/>
        </w:rPr>
      </w:pPr>
      <w:r w:rsidRPr="009E7B19">
        <w:rPr>
          <w:rFonts w:cstheme="minorHAnsi"/>
          <w:b/>
          <w:bCs/>
          <w:sz w:val="72"/>
          <w:szCs w:val="72"/>
        </w:rPr>
        <w:t>ESTRATEGIA</w:t>
      </w:r>
    </w:p>
    <w:p w14:paraId="43A50F0D" w14:textId="3F94FAC4" w:rsidR="006F6859" w:rsidRPr="009E7B19" w:rsidRDefault="006F6859">
      <w:pPr>
        <w:rPr>
          <w:rFonts w:cstheme="minorHAnsi"/>
          <w:b/>
          <w:bCs/>
          <w:sz w:val="72"/>
          <w:szCs w:val="72"/>
        </w:rPr>
      </w:pPr>
      <w:r w:rsidRPr="009E7B19">
        <w:rPr>
          <w:rFonts w:cstheme="minorHAnsi"/>
          <w:b/>
          <w:bCs/>
          <w:sz w:val="72"/>
          <w:szCs w:val="72"/>
        </w:rPr>
        <w:t>CONFLICTO DE</w:t>
      </w:r>
    </w:p>
    <w:p w14:paraId="5164F5C3" w14:textId="37CDFA61" w:rsidR="006F6859" w:rsidRPr="009E7B19" w:rsidRDefault="006F6859">
      <w:pPr>
        <w:rPr>
          <w:rFonts w:cstheme="minorHAnsi"/>
          <w:b/>
          <w:bCs/>
          <w:sz w:val="72"/>
          <w:szCs w:val="72"/>
        </w:rPr>
      </w:pPr>
      <w:r w:rsidRPr="009E7B19">
        <w:rPr>
          <w:rFonts w:cstheme="minorHAnsi"/>
          <w:b/>
          <w:bCs/>
          <w:sz w:val="72"/>
          <w:szCs w:val="72"/>
        </w:rPr>
        <w:t>INTERES</w:t>
      </w:r>
      <w:r w:rsidR="006F7D61" w:rsidRPr="009E7B19">
        <w:rPr>
          <w:rFonts w:cstheme="minorHAnsi"/>
          <w:b/>
          <w:bCs/>
          <w:sz w:val="72"/>
          <w:szCs w:val="72"/>
        </w:rPr>
        <w:t>ES</w:t>
      </w:r>
    </w:p>
    <w:p w14:paraId="47A6DC68" w14:textId="163A6047" w:rsidR="0040433D" w:rsidRPr="009E7B19" w:rsidRDefault="0040433D">
      <w:pPr>
        <w:rPr>
          <w:rFonts w:cstheme="minorHAnsi"/>
          <w:b/>
          <w:bCs/>
          <w:sz w:val="72"/>
          <w:szCs w:val="72"/>
        </w:rPr>
      </w:pPr>
    </w:p>
    <w:p w14:paraId="0FCC9487" w14:textId="366AC6C0" w:rsidR="0040433D" w:rsidRPr="009E7B19" w:rsidRDefault="0040433D">
      <w:pPr>
        <w:rPr>
          <w:rFonts w:cstheme="minorHAnsi"/>
          <w:b/>
          <w:bCs/>
          <w:sz w:val="72"/>
          <w:szCs w:val="72"/>
        </w:rPr>
      </w:pPr>
    </w:p>
    <w:p w14:paraId="39578712" w14:textId="6DE596C7" w:rsidR="0040433D" w:rsidRPr="009E7B19" w:rsidRDefault="0040433D">
      <w:pPr>
        <w:rPr>
          <w:rFonts w:cstheme="minorHAnsi"/>
          <w:b/>
          <w:bCs/>
          <w:sz w:val="72"/>
          <w:szCs w:val="72"/>
        </w:rPr>
      </w:pPr>
    </w:p>
    <w:p w14:paraId="1BD636F3" w14:textId="0406B610" w:rsidR="0040433D" w:rsidRPr="009E7B19" w:rsidRDefault="0040433D">
      <w:pPr>
        <w:rPr>
          <w:rFonts w:cstheme="minorHAnsi"/>
          <w:b/>
          <w:bCs/>
          <w:sz w:val="72"/>
          <w:szCs w:val="72"/>
        </w:rPr>
      </w:pPr>
    </w:p>
    <w:p w14:paraId="1083369E" w14:textId="14D304B9" w:rsidR="0040433D" w:rsidRPr="009E7B19" w:rsidRDefault="0040433D">
      <w:pPr>
        <w:rPr>
          <w:rFonts w:cstheme="minorHAnsi"/>
          <w:b/>
          <w:bCs/>
          <w:sz w:val="72"/>
          <w:szCs w:val="72"/>
        </w:rPr>
      </w:pPr>
    </w:p>
    <w:p w14:paraId="41B567B4" w14:textId="1AABA2B6" w:rsidR="0040433D" w:rsidRPr="009E7B19" w:rsidRDefault="0040433D">
      <w:pPr>
        <w:rPr>
          <w:rFonts w:cstheme="minorHAnsi"/>
          <w:b/>
          <w:bCs/>
          <w:sz w:val="36"/>
          <w:szCs w:val="36"/>
        </w:rPr>
      </w:pPr>
      <w:r w:rsidRPr="009E7B19">
        <w:rPr>
          <w:rFonts w:cstheme="minorHAnsi"/>
          <w:b/>
          <w:bCs/>
          <w:sz w:val="36"/>
          <w:szCs w:val="36"/>
        </w:rPr>
        <w:t>Unidad Administrativa</w:t>
      </w:r>
    </w:p>
    <w:p w14:paraId="318D36F9" w14:textId="07DBBD6E" w:rsidR="0040433D" w:rsidRPr="009E7B19" w:rsidRDefault="0040433D">
      <w:pPr>
        <w:rPr>
          <w:rFonts w:cstheme="minorHAnsi"/>
          <w:b/>
          <w:bCs/>
          <w:sz w:val="36"/>
          <w:szCs w:val="36"/>
        </w:rPr>
      </w:pPr>
      <w:r w:rsidRPr="009E7B19">
        <w:rPr>
          <w:rFonts w:cstheme="minorHAnsi"/>
          <w:b/>
          <w:bCs/>
          <w:sz w:val="36"/>
          <w:szCs w:val="36"/>
        </w:rPr>
        <w:t>Especial de Servicios Públicos</w:t>
      </w:r>
    </w:p>
    <w:p w14:paraId="52BD6F7D" w14:textId="1CB35159" w:rsidR="00DA2361" w:rsidRPr="009E7B19" w:rsidRDefault="0040433D">
      <w:pPr>
        <w:rPr>
          <w:rFonts w:ascii="Museo Sans Condensed 500" w:hAnsi="Museo Sans Condensed 500"/>
          <w:sz w:val="72"/>
          <w:szCs w:val="72"/>
        </w:rPr>
      </w:pPr>
      <w:r w:rsidRPr="009E7B19">
        <w:rPr>
          <w:rFonts w:ascii="Museo Sans Condensed 500" w:hAnsi="Museo Sans Condensed 500"/>
          <w:sz w:val="72"/>
          <w:szCs w:val="72"/>
        </w:rPr>
        <w:t>2021</w:t>
      </w:r>
      <w:r w:rsidR="00C27532" w:rsidRPr="009E7B19">
        <w:rPr>
          <w:rFonts w:ascii="Museo Sans Condensed 500" w:hAnsi="Museo Sans Condensed 500"/>
          <w:sz w:val="72"/>
          <w:szCs w:val="72"/>
        </w:rPr>
        <w:t>-2024</w:t>
      </w:r>
    </w:p>
    <w:p w14:paraId="6BCEB2E7" w14:textId="15DED7B3" w:rsidR="00DA2361" w:rsidRPr="009E7B19" w:rsidRDefault="00DA2361" w:rsidP="00DA2361">
      <w:pPr>
        <w:pStyle w:val="Ttulo1"/>
        <w:rPr>
          <w:color w:val="auto"/>
        </w:rPr>
      </w:pPr>
    </w:p>
    <w:p w14:paraId="2105B9DB" w14:textId="73B7D980" w:rsidR="00DA2361" w:rsidRPr="005D2ABE" w:rsidRDefault="00DA2361" w:rsidP="00DA2361"/>
    <w:p w14:paraId="6F20069F" w14:textId="77777777" w:rsidR="00DA2361" w:rsidRPr="005D2ABE" w:rsidRDefault="00DA2361" w:rsidP="00DA2361"/>
    <w:p w14:paraId="4806913F" w14:textId="3482EC15" w:rsidR="00A46D41" w:rsidRDefault="006F7D61" w:rsidP="009E7B19">
      <w:pPr>
        <w:pStyle w:val="Ttulo1"/>
        <w:numPr>
          <w:ilvl w:val="0"/>
          <w:numId w:val="4"/>
        </w:numPr>
        <w:jc w:val="both"/>
      </w:pPr>
      <w:r>
        <w:lastRenderedPageBreak/>
        <w:t>PRESENTACIÓN</w:t>
      </w:r>
    </w:p>
    <w:p w14:paraId="68A880B0" w14:textId="77777777" w:rsidR="006F7D61" w:rsidRPr="006F7D61" w:rsidRDefault="006F7D61" w:rsidP="006F7D61"/>
    <w:p w14:paraId="132EC456" w14:textId="78900EA8" w:rsidR="00657BA6" w:rsidRPr="009E7B19" w:rsidRDefault="00821ED3" w:rsidP="00657BA6">
      <w:r w:rsidRPr="009E7B19">
        <w:t>La Unidad Administrativa Especial de Servicios Públicos,</w:t>
      </w:r>
      <w:r w:rsidR="00B17AD9" w:rsidRPr="009E7B19">
        <w:t xml:space="preserve"> en cumplimiento con la</w:t>
      </w:r>
      <w:r w:rsidRPr="009E7B19">
        <w:t xml:space="preserve"> adopción de la </w:t>
      </w:r>
      <w:r w:rsidR="00EE6533" w:rsidRPr="00486BC5">
        <w:t xml:space="preserve">Política de </w:t>
      </w:r>
      <w:r w:rsidR="00EE6533" w:rsidRPr="009E7B19">
        <w:t>identificación, declaración gestión de posibles conflictos de intereses V2 de la UAESP</w:t>
      </w:r>
      <w:r w:rsidR="00567D1E" w:rsidRPr="009E7B19">
        <w:t xml:space="preserve">, </w:t>
      </w:r>
      <w:r w:rsidR="00FB1609" w:rsidRPr="009E7B19">
        <w:t xml:space="preserve">la </w:t>
      </w:r>
      <w:r w:rsidR="002D5AAB" w:rsidRPr="009E7B19">
        <w:t xml:space="preserve">cual tiene como </w:t>
      </w:r>
      <w:r w:rsidR="00FB1609" w:rsidRPr="009E7B19">
        <w:rPr>
          <w:rFonts w:cs="Arial"/>
          <w:szCs w:val="20"/>
        </w:rPr>
        <w:t xml:space="preserve">propósito 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facilitar la identificaci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ó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n, declaraci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ó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n, manejo y gesti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ó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n de los conflictos de inter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é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s</w:t>
      </w:r>
      <w:r w:rsidR="009E7B19" w:rsidRPr="009E7B19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en procura de lograr que las actuaciones de la administraci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ó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n y la de sus servidores y</w:t>
      </w:r>
      <w:r w:rsidR="00FB1609" w:rsidRPr="009E7B19">
        <w:rPr>
          <w:rFonts w:cs="Arial"/>
          <w:szCs w:val="20"/>
        </w:rPr>
        <w:t xml:space="preserve"> 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colaboradores p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ú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blicos siempre est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é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n guiadas por el inter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é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s general y la b</w:t>
      </w:r>
      <w:r w:rsidR="00FB1609" w:rsidRPr="009E7B19">
        <w:rPr>
          <w:rStyle w:val="fontstyle01"/>
          <w:rFonts w:ascii="Arial" w:hAnsi="Arial" w:cs="Arial" w:hint="eastAsia"/>
          <w:color w:val="auto"/>
          <w:sz w:val="20"/>
          <w:szCs w:val="20"/>
        </w:rPr>
        <w:t>ú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squeda del bienestar de</w:t>
      </w:r>
      <w:r w:rsidR="00FB1609" w:rsidRPr="009E7B19">
        <w:rPr>
          <w:rFonts w:cs="Arial"/>
          <w:szCs w:val="20"/>
        </w:rPr>
        <w:t xml:space="preserve"> </w:t>
      </w:r>
      <w:r w:rsidR="00FB1609" w:rsidRPr="009E7B19">
        <w:rPr>
          <w:rStyle w:val="fontstyle01"/>
          <w:rFonts w:ascii="Arial" w:hAnsi="Arial" w:cs="Arial"/>
          <w:color w:val="auto"/>
          <w:sz w:val="20"/>
          <w:szCs w:val="20"/>
        </w:rPr>
        <w:t>la comunidad.</w:t>
      </w:r>
      <w:r w:rsidR="00544526" w:rsidRPr="009E7B19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="00657BA6" w:rsidRPr="009E7B19">
        <w:t>Por lo anterior</w:t>
      </w:r>
      <w:r w:rsidR="00FB1609" w:rsidRPr="009E7B19">
        <w:t>,</w:t>
      </w:r>
      <w:r w:rsidR="00657BA6" w:rsidRPr="009E7B19">
        <w:t xml:space="preserve"> se toma como base el formato establecido por la función pública: Formato formulación estrategia conflicto de intereses.</w:t>
      </w:r>
    </w:p>
    <w:p w14:paraId="41DBCDEF" w14:textId="498F2C4E" w:rsidR="00285A3B" w:rsidRDefault="00550B1C" w:rsidP="009E7B19">
      <w:pPr>
        <w:pStyle w:val="Ttulo1"/>
        <w:numPr>
          <w:ilvl w:val="0"/>
          <w:numId w:val="4"/>
        </w:numPr>
        <w:jc w:val="both"/>
      </w:pPr>
      <w:r>
        <w:t>O</w:t>
      </w:r>
      <w:r w:rsidR="002D5AAB">
        <w:t>bjetivo</w:t>
      </w:r>
      <w:r>
        <w:t xml:space="preserve"> </w:t>
      </w:r>
      <w:r w:rsidR="00EE6533">
        <w:t xml:space="preserve">de la Estrategia de Conflicto de Intereses de la </w:t>
      </w:r>
      <w:r>
        <w:t>UAESP</w:t>
      </w:r>
    </w:p>
    <w:p w14:paraId="7246CFFB" w14:textId="77777777" w:rsidR="00285A3B" w:rsidRDefault="002D5AAB" w:rsidP="00AC24EE">
      <w:r w:rsidRPr="002D5AAB">
        <w:t>Orientar a los servidores públicos y contratistas en la declaración y manejo de los conflictos de intereses reales, potenciales o aparentes que puedan presentarse al interior de la Unidad Administrativa Especial de Servicios Públicos – UAESP -, para disminuir el riesgo de privilegiar los intereses privados en detrimento del bien público y contribuir al fortalecimiento de la transparencia y la integridad en todas las actuaciones de los servidores y contratistas de la UAESP</w:t>
      </w:r>
      <w:r w:rsidR="00285A3B">
        <w:t>.</w:t>
      </w:r>
    </w:p>
    <w:p w14:paraId="7F8992B1" w14:textId="7B73CC5D" w:rsidR="00544526" w:rsidRDefault="00544526" w:rsidP="009E7B19">
      <w:pPr>
        <w:pStyle w:val="Ttulo1"/>
        <w:numPr>
          <w:ilvl w:val="0"/>
          <w:numId w:val="4"/>
        </w:numPr>
        <w:jc w:val="both"/>
      </w:pPr>
      <w:r>
        <w:t>Alcance</w:t>
      </w:r>
    </w:p>
    <w:p w14:paraId="479E0C3D" w14:textId="77777777" w:rsidR="00544526" w:rsidRDefault="00544526" w:rsidP="00544526">
      <w:r>
        <w:t xml:space="preserve">De conformidad a los lineamientos establecidos en la </w:t>
      </w:r>
      <w:r w:rsidRPr="000140C4">
        <w:t>Política de identificación, declaración gestión de posibles conflictos de intereses V2</w:t>
      </w:r>
      <w:r>
        <w:t xml:space="preserve"> de la UAESP, se formula la estrategia para su implementación para las vigencias 2021 - 2024</w:t>
      </w:r>
    </w:p>
    <w:p w14:paraId="0F2A25DB" w14:textId="77777777" w:rsidR="00544526" w:rsidRPr="00544526" w:rsidRDefault="00544526" w:rsidP="00544526"/>
    <w:p w14:paraId="5CE9C240" w14:textId="618FF04F" w:rsidR="009E7B19" w:rsidRPr="00064663" w:rsidRDefault="00E84AD6" w:rsidP="009E7B19">
      <w:pPr>
        <w:pStyle w:val="Ttulo1"/>
        <w:numPr>
          <w:ilvl w:val="0"/>
          <w:numId w:val="4"/>
        </w:numPr>
        <w:jc w:val="left"/>
      </w:pPr>
      <w:r>
        <w:t>Descripción de Actividades de la Estrategia</w:t>
      </w:r>
      <w:r w:rsidR="00F62E25" w:rsidRPr="007D7BFA">
        <w:t xml:space="preserve"> </w:t>
      </w:r>
    </w:p>
    <w:p w14:paraId="71E19E75" w14:textId="178A218D" w:rsidR="009E7B19" w:rsidRPr="009E7B19" w:rsidRDefault="00F62E25" w:rsidP="009E7B19">
      <w:r w:rsidRPr="00187954">
        <w:t>Se identifi</w:t>
      </w:r>
      <w:r>
        <w:t>có</w:t>
      </w:r>
      <w:r w:rsidRPr="00187954">
        <w:t xml:space="preserve"> la necesidad de </w:t>
      </w:r>
      <w:r>
        <w:t>encaminar acciones de</w:t>
      </w:r>
      <w:r w:rsidRPr="00187954">
        <w:t xml:space="preserve"> gestión a </w:t>
      </w:r>
      <w:r w:rsidRPr="008F4074">
        <w:t>través</w:t>
      </w:r>
      <w:r w:rsidRPr="00187954">
        <w:t xml:space="preserve"> de las siguientes </w:t>
      </w:r>
      <w:r>
        <w:t xml:space="preserve">componentes y </w:t>
      </w:r>
      <w:r w:rsidRPr="00187954">
        <w:t>actividades</w:t>
      </w:r>
      <w:r w:rsidR="00E84AD6">
        <w:t>.</w:t>
      </w:r>
    </w:p>
    <w:p w14:paraId="7F10ECCC" w14:textId="75B65590" w:rsidR="0077729B" w:rsidRDefault="009E7B19" w:rsidP="009E7B19">
      <w:pPr>
        <w:pStyle w:val="Ttulo2"/>
      </w:pPr>
      <w:r>
        <w:t xml:space="preserve">4.1 </w:t>
      </w:r>
      <w:r w:rsidR="00E84AD6">
        <w:t xml:space="preserve">Componente de </w:t>
      </w:r>
      <w:r w:rsidR="00E473C0">
        <w:t>Planeación</w:t>
      </w:r>
    </w:p>
    <w:tbl>
      <w:tblPr>
        <w:tblW w:w="850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126"/>
      </w:tblGrid>
      <w:tr w:rsidR="00E84AD6" w:rsidRPr="008215B7" w14:paraId="17E19F29" w14:textId="77777777" w:rsidTr="009E7B19">
        <w:trPr>
          <w:trHeight w:val="317"/>
        </w:trPr>
        <w:tc>
          <w:tcPr>
            <w:tcW w:w="1980" w:type="dxa"/>
            <w:shd w:val="clear" w:color="000000" w:fill="FFFFFF"/>
            <w:vAlign w:val="center"/>
          </w:tcPr>
          <w:p w14:paraId="6757131E" w14:textId="0BDFB2CE" w:rsidR="00E84AD6" w:rsidRPr="008215B7" w:rsidRDefault="00E84AD6" w:rsidP="008215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</w:pPr>
            <w:r w:rsidRPr="008215B7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CATEGORÍA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285620F" w14:textId="038D4018" w:rsidR="00E84AD6" w:rsidRPr="008215B7" w:rsidRDefault="00E84AD6" w:rsidP="008215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</w:pPr>
            <w:r w:rsidRPr="008215B7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ACTIVIDAD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0F8C1A" w14:textId="42914672" w:rsidR="00E84AD6" w:rsidRPr="008215B7" w:rsidRDefault="00E84AD6" w:rsidP="008215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</w:pPr>
            <w:r w:rsidRPr="008215B7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FECHA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97E9331" w14:textId="09691154" w:rsidR="00E84AD6" w:rsidRPr="008215B7" w:rsidRDefault="00E84AD6" w:rsidP="008215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</w:pPr>
            <w:r w:rsidRPr="008215B7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RESPONSABLE</w:t>
            </w:r>
          </w:p>
        </w:tc>
      </w:tr>
      <w:tr w:rsidR="00E84AD6" w:rsidRPr="00287076" w14:paraId="17E9DE90" w14:textId="77777777" w:rsidTr="009E7B19">
        <w:trPr>
          <w:trHeight w:val="549"/>
        </w:trPr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14:paraId="3AA70D05" w14:textId="77777777" w:rsidR="00E84AD6" w:rsidRPr="00287076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28707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Diseño de la estrategia para la gestión de conflictos de intereses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35AB54C1" w14:textId="38D532A6" w:rsidR="00E84AD6" w:rsidRPr="00287076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Formulación de la estrategia</w:t>
            </w:r>
            <w:r w:rsidR="005F5A69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DF4516" w14:textId="2935ECC0" w:rsidR="00E84AD6" w:rsidRPr="00287076" w:rsidRDefault="005F5A69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Noviembre</w:t>
            </w:r>
            <w:r w:rsidR="00E84AD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y diciembre de 2021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6A0FB7" w14:textId="3E6B2C1C" w:rsidR="00E84AD6" w:rsidRPr="00287076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Todos los procesos </w:t>
            </w:r>
          </w:p>
        </w:tc>
      </w:tr>
      <w:tr w:rsidR="00E84AD6" w:rsidRPr="00287076" w14:paraId="74782C90" w14:textId="77777777" w:rsidTr="009E7B19">
        <w:trPr>
          <w:trHeight w:val="549"/>
        </w:trPr>
        <w:tc>
          <w:tcPr>
            <w:tcW w:w="1980" w:type="dxa"/>
            <w:vMerge/>
            <w:shd w:val="clear" w:color="000000" w:fill="FFFFFF"/>
            <w:vAlign w:val="center"/>
          </w:tcPr>
          <w:p w14:paraId="666A04D0" w14:textId="77777777" w:rsidR="00E84AD6" w:rsidRPr="00287076" w:rsidRDefault="00E84AD6" w:rsidP="00672ABB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14:paraId="0C4782FF" w14:textId="5942D2B4" w:rsidR="00E84AD6" w:rsidRPr="00287076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28707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Incorporar al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PAAC</w:t>
            </w:r>
            <w:r w:rsidRPr="0028707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la estrategia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y seguimiento</w:t>
            </w:r>
            <w:r w:rsidRPr="0028707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para la gestión del conflicto de intereses y publicarlo en el sitio web</w:t>
            </w:r>
            <w:r w:rsidR="005F5A69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, una vez sea aprobado el PAAC de la vigencia por el Comité Institucional de Gestión y Desempeño</w:t>
            </w:r>
            <w:r w:rsidRPr="0028707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E79258A" w14:textId="5E42486F" w:rsidR="00E84AD6" w:rsidRPr="00287076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31 enero de cada vigencia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8A1DBBF" w14:textId="2354A2BC" w:rsidR="00E84AD6" w:rsidDel="00672ABB" w:rsidRDefault="00E84AD6" w:rsidP="009E7B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Asesora de Planeación</w:t>
            </w:r>
          </w:p>
        </w:tc>
      </w:tr>
    </w:tbl>
    <w:p w14:paraId="57A5FBF9" w14:textId="24957741" w:rsidR="00E473C0" w:rsidRDefault="00E473C0" w:rsidP="00E473C0"/>
    <w:p w14:paraId="150CB502" w14:textId="303B7585" w:rsidR="009E7B19" w:rsidRDefault="009E7B19" w:rsidP="00E473C0"/>
    <w:p w14:paraId="74183213" w14:textId="6FAC0F3C" w:rsidR="009E7B19" w:rsidRDefault="009E7B19" w:rsidP="00E473C0"/>
    <w:p w14:paraId="36D166E2" w14:textId="77777777" w:rsidR="009E7B19" w:rsidRPr="00E473C0" w:rsidRDefault="009E7B19" w:rsidP="00E473C0"/>
    <w:p w14:paraId="3AD4BEBF" w14:textId="2370C344" w:rsidR="00C11313" w:rsidRDefault="009E7B19" w:rsidP="009E7B19">
      <w:pPr>
        <w:pStyle w:val="Ttulo2"/>
      </w:pPr>
      <w:r>
        <w:lastRenderedPageBreak/>
        <w:t xml:space="preserve">4.2 </w:t>
      </w:r>
      <w:r w:rsidR="00E84AD6">
        <w:t xml:space="preserve">Componente de </w:t>
      </w:r>
      <w:r w:rsidR="00C05755">
        <w:t>Condiciones Institucionales</w:t>
      </w:r>
    </w:p>
    <w:p w14:paraId="759BA13C" w14:textId="77777777" w:rsidR="005F5A69" w:rsidRPr="005F5A69" w:rsidRDefault="005F5A69" w:rsidP="009E7B19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975"/>
        <w:gridCol w:w="2977"/>
        <w:gridCol w:w="1417"/>
        <w:gridCol w:w="2126"/>
      </w:tblGrid>
      <w:tr w:rsidR="00C05755" w:rsidRPr="00C05755" w14:paraId="13C1A2CE" w14:textId="77777777" w:rsidTr="009E7B19">
        <w:trPr>
          <w:trHeight w:val="40"/>
        </w:trPr>
        <w:tc>
          <w:tcPr>
            <w:tcW w:w="1975" w:type="dxa"/>
            <w:vAlign w:val="center"/>
          </w:tcPr>
          <w:p w14:paraId="67098CD5" w14:textId="40B1FACA" w:rsidR="00C05755" w:rsidRPr="00C05755" w:rsidRDefault="00C05755" w:rsidP="001B2A6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CATEGORÍA</w:t>
            </w:r>
          </w:p>
        </w:tc>
        <w:tc>
          <w:tcPr>
            <w:tcW w:w="2977" w:type="dxa"/>
            <w:vAlign w:val="center"/>
          </w:tcPr>
          <w:p w14:paraId="746CA795" w14:textId="06EEF280" w:rsidR="00C05755" w:rsidRPr="00C05755" w:rsidRDefault="00C05755" w:rsidP="001B2A6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ACTIVIDAD</w:t>
            </w:r>
          </w:p>
        </w:tc>
        <w:tc>
          <w:tcPr>
            <w:tcW w:w="1417" w:type="dxa"/>
            <w:vAlign w:val="center"/>
          </w:tcPr>
          <w:p w14:paraId="07660807" w14:textId="17D9C72F" w:rsidR="00C05755" w:rsidRPr="00C05755" w:rsidRDefault="00C05755" w:rsidP="001B2A6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FECHA</w:t>
            </w:r>
          </w:p>
        </w:tc>
        <w:tc>
          <w:tcPr>
            <w:tcW w:w="2126" w:type="dxa"/>
            <w:noWrap/>
            <w:vAlign w:val="center"/>
          </w:tcPr>
          <w:p w14:paraId="704EA29F" w14:textId="18BB0FC6" w:rsidR="00C05755" w:rsidRPr="00C05755" w:rsidRDefault="00C05755" w:rsidP="001B2A6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RESPONSABLE</w:t>
            </w:r>
          </w:p>
        </w:tc>
      </w:tr>
      <w:tr w:rsidR="00D80017" w:rsidRPr="00C05755" w14:paraId="586E0D9B" w14:textId="77777777" w:rsidTr="009E7B19">
        <w:trPr>
          <w:trHeight w:val="40"/>
        </w:trPr>
        <w:tc>
          <w:tcPr>
            <w:tcW w:w="1975" w:type="dxa"/>
            <w:vMerge w:val="restart"/>
            <w:vAlign w:val="center"/>
            <w:hideMark/>
          </w:tcPr>
          <w:p w14:paraId="3541599C" w14:textId="08DD972F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Comité </w:t>
            </w:r>
            <w:r w:rsidR="007704D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Institucional </w:t>
            </w:r>
            <w:r w:rsidR="007704DB"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Gestión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y Desempeño</w:t>
            </w:r>
          </w:p>
          <w:p w14:paraId="575DFBC7" w14:textId="27178FAA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vAlign w:val="center"/>
            <w:hideMark/>
          </w:tcPr>
          <w:p w14:paraId="4B90DEF4" w14:textId="2A9F26E8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1417" w:type="dxa"/>
            <w:vAlign w:val="center"/>
            <w:hideMark/>
          </w:tcPr>
          <w:p w14:paraId="0FC6126E" w14:textId="7777777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3CBDCCFE" w14:textId="5BBDDF7A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</w:tr>
      <w:tr w:rsidR="00D80017" w:rsidRPr="00C05755" w14:paraId="545D0C7F" w14:textId="77777777" w:rsidTr="009E7B19">
        <w:trPr>
          <w:trHeight w:val="1240"/>
        </w:trPr>
        <w:tc>
          <w:tcPr>
            <w:tcW w:w="1975" w:type="dxa"/>
            <w:vMerge/>
            <w:vAlign w:val="center"/>
            <w:hideMark/>
          </w:tcPr>
          <w:p w14:paraId="110CCB47" w14:textId="5753F7A2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vAlign w:val="center"/>
            <w:hideMark/>
          </w:tcPr>
          <w:p w14:paraId="32DF1FB6" w14:textId="285A1769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Hacer seguimiento </w:t>
            </w:r>
            <w:r w:rsidR="00901D6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 </w:t>
            </w:r>
            <w:r w:rsidR="00901D6B"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la implementación de la estrategia de gestión de conflicto de intereses </w:t>
            </w:r>
            <w:r w:rsidR="00901D6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 través del </w:t>
            </w:r>
            <w:r w:rsidR="009251C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PAAC </w:t>
            </w:r>
          </w:p>
        </w:tc>
        <w:tc>
          <w:tcPr>
            <w:tcW w:w="1417" w:type="dxa"/>
            <w:vAlign w:val="center"/>
            <w:hideMark/>
          </w:tcPr>
          <w:p w14:paraId="34D05672" w14:textId="09E60DB4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901D6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Cada cuatro meses</w:t>
            </w:r>
          </w:p>
        </w:tc>
        <w:tc>
          <w:tcPr>
            <w:tcW w:w="2126" w:type="dxa"/>
            <w:noWrap/>
            <w:vAlign w:val="center"/>
            <w:hideMark/>
          </w:tcPr>
          <w:p w14:paraId="37911846" w14:textId="04843CA5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967439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Asesora de Planeación</w:t>
            </w:r>
          </w:p>
        </w:tc>
      </w:tr>
      <w:tr w:rsidR="00D80017" w:rsidRPr="00C05755" w14:paraId="0C7A0748" w14:textId="77777777" w:rsidTr="009E7B19">
        <w:trPr>
          <w:trHeight w:val="620"/>
        </w:trPr>
        <w:tc>
          <w:tcPr>
            <w:tcW w:w="1975" w:type="dxa"/>
            <w:vMerge w:val="restart"/>
            <w:noWrap/>
            <w:vAlign w:val="center"/>
            <w:hideMark/>
          </w:tcPr>
          <w:p w14:paraId="1895B37D" w14:textId="7777777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Procesos y procedimientos</w:t>
            </w:r>
          </w:p>
          <w:p w14:paraId="421392A9" w14:textId="7777777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  <w:p w14:paraId="03EE257B" w14:textId="7777777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  <w:p w14:paraId="262AD059" w14:textId="6220891E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vAlign w:val="center"/>
            <w:hideMark/>
          </w:tcPr>
          <w:p w14:paraId="53879AC8" w14:textId="61871FC4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Identificar las áreas con </w:t>
            </w:r>
            <w:r w:rsidR="009251C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mayor 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riesgo de </w:t>
            </w:r>
            <w:r w:rsidR="009251C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incurrir en 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posibles conflictos de intereses </w:t>
            </w:r>
            <w:r w:rsidR="009251C6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asociados a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los procesos o dependencias</w:t>
            </w:r>
          </w:p>
        </w:tc>
        <w:tc>
          <w:tcPr>
            <w:tcW w:w="1417" w:type="dxa"/>
            <w:vAlign w:val="center"/>
            <w:hideMark/>
          </w:tcPr>
          <w:p w14:paraId="1449CA31" w14:textId="73B45095" w:rsidR="00D80017" w:rsidRPr="00C05755" w:rsidRDefault="0080609B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enero</w:t>
            </w:r>
            <w:r w:rsidR="006E0718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de cada vigencia</w:t>
            </w:r>
          </w:p>
        </w:tc>
        <w:tc>
          <w:tcPr>
            <w:tcW w:w="2126" w:type="dxa"/>
            <w:noWrap/>
            <w:vAlign w:val="center"/>
            <w:hideMark/>
          </w:tcPr>
          <w:p w14:paraId="6DDE83FA" w14:textId="67846082" w:rsidR="00D80017" w:rsidRPr="00C05755" w:rsidRDefault="00FA7DFD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Asesora de Planeación</w:t>
            </w:r>
          </w:p>
        </w:tc>
      </w:tr>
      <w:tr w:rsidR="00D80017" w:rsidRPr="00C05755" w14:paraId="2D68AA5A" w14:textId="77777777" w:rsidTr="009E7B19">
        <w:trPr>
          <w:trHeight w:val="930"/>
        </w:trPr>
        <w:tc>
          <w:tcPr>
            <w:tcW w:w="1975" w:type="dxa"/>
            <w:vMerge/>
            <w:noWrap/>
            <w:vAlign w:val="center"/>
            <w:hideMark/>
          </w:tcPr>
          <w:p w14:paraId="40761991" w14:textId="31E481D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vAlign w:val="center"/>
          </w:tcPr>
          <w:p w14:paraId="0DBFA34D" w14:textId="50009EEB" w:rsidR="00EF48C2" w:rsidRPr="00C05755" w:rsidRDefault="00EF48C2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Socializar los canales establecidos para recibir los impedimentos o recusaciones en temas de conflicto de intereses</w:t>
            </w:r>
            <w:r w:rsidR="009E7B19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vAlign w:val="center"/>
          </w:tcPr>
          <w:p w14:paraId="0BE8695D" w14:textId="4968434F" w:rsidR="00D80017" w:rsidRPr="00C05755" w:rsidRDefault="003924BB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Fecha abierta para cada vigencia</w:t>
            </w:r>
          </w:p>
        </w:tc>
        <w:tc>
          <w:tcPr>
            <w:tcW w:w="2126" w:type="dxa"/>
            <w:noWrap/>
            <w:vAlign w:val="center"/>
          </w:tcPr>
          <w:p w14:paraId="6E1EC496" w14:textId="1325B220" w:rsidR="00EF48C2" w:rsidRPr="00C05755" w:rsidRDefault="00EF48C2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Oficina Asesora de Comunicaciones </w:t>
            </w:r>
          </w:p>
        </w:tc>
      </w:tr>
      <w:tr w:rsidR="00D80017" w:rsidRPr="00C05755" w14:paraId="56021697" w14:textId="77777777" w:rsidTr="009E7B19">
        <w:trPr>
          <w:trHeight w:val="930"/>
        </w:trPr>
        <w:tc>
          <w:tcPr>
            <w:tcW w:w="1975" w:type="dxa"/>
            <w:vMerge/>
            <w:noWrap/>
            <w:vAlign w:val="center"/>
            <w:hideMark/>
          </w:tcPr>
          <w:p w14:paraId="235BFBEA" w14:textId="439AE0B3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vAlign w:val="center"/>
            <w:hideMark/>
          </w:tcPr>
          <w:p w14:paraId="1ADC02D9" w14:textId="6C64E46C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Ajustar </w:t>
            </w:r>
            <w:r w:rsidR="00D3569E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los documentos asociados a la gestión contractual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de la entidad con orientaciones para que los contratistas realicen</w:t>
            </w:r>
            <w:r w:rsidR="003928B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oportunamente</w:t>
            </w: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su declaración de conflictos de intereses</w:t>
            </w:r>
          </w:p>
        </w:tc>
        <w:tc>
          <w:tcPr>
            <w:tcW w:w="1417" w:type="dxa"/>
            <w:vAlign w:val="center"/>
            <w:hideMark/>
          </w:tcPr>
          <w:p w14:paraId="0565F336" w14:textId="14BEF003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3924B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Noviembre 2022</w:t>
            </w:r>
          </w:p>
        </w:tc>
        <w:tc>
          <w:tcPr>
            <w:tcW w:w="2126" w:type="dxa"/>
            <w:noWrap/>
            <w:vAlign w:val="center"/>
            <w:hideMark/>
          </w:tcPr>
          <w:p w14:paraId="333010D2" w14:textId="42DD8346" w:rsidR="00D80017" w:rsidRPr="00C05755" w:rsidRDefault="00710705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Subdirección de </w:t>
            </w:r>
            <w:r w:rsidR="00665DC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Asuntos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Legales</w:t>
            </w:r>
          </w:p>
        </w:tc>
      </w:tr>
      <w:tr w:rsidR="00D80017" w:rsidRPr="00C05755" w14:paraId="144F89F7" w14:textId="77777777" w:rsidTr="009E7B19">
        <w:trPr>
          <w:trHeight w:val="1250"/>
        </w:trPr>
        <w:tc>
          <w:tcPr>
            <w:tcW w:w="1975" w:type="dxa"/>
            <w:vMerge/>
            <w:noWrap/>
            <w:vAlign w:val="center"/>
            <w:hideMark/>
          </w:tcPr>
          <w:p w14:paraId="29297194" w14:textId="080E9FF7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vAlign w:val="center"/>
            <w:hideMark/>
          </w:tcPr>
          <w:p w14:paraId="35F7029F" w14:textId="304C9CAC" w:rsidR="00D80017" w:rsidRPr="00C05755" w:rsidRDefault="00047DD3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Incluir</w:t>
            </w:r>
            <w:r w:rsidR="00665DC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en la Página Web de la UAESP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el enlace del Departamento Administrativo del Servicio Civil Distrital en temas de conflicto de intereses</w:t>
            </w:r>
          </w:p>
        </w:tc>
        <w:tc>
          <w:tcPr>
            <w:tcW w:w="1417" w:type="dxa"/>
            <w:vAlign w:val="center"/>
            <w:hideMark/>
          </w:tcPr>
          <w:p w14:paraId="602C6F04" w14:textId="18B6C211" w:rsidR="00D80017" w:rsidRPr="00C05755" w:rsidRDefault="00D80017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3924B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Enero 2022</w:t>
            </w:r>
          </w:p>
        </w:tc>
        <w:tc>
          <w:tcPr>
            <w:tcW w:w="2126" w:type="dxa"/>
            <w:noWrap/>
            <w:vAlign w:val="center"/>
            <w:hideMark/>
          </w:tcPr>
          <w:p w14:paraId="23ABE3D1" w14:textId="09CE7EF4" w:rsidR="00D80017" w:rsidRPr="00C05755" w:rsidRDefault="00047DD3" w:rsidP="009E7B19">
            <w:pP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TIC</w:t>
            </w:r>
          </w:p>
        </w:tc>
      </w:tr>
    </w:tbl>
    <w:p w14:paraId="74A32CC2" w14:textId="32F90F48" w:rsidR="0040433D" w:rsidRDefault="0040433D"/>
    <w:p w14:paraId="17CBF9ED" w14:textId="0623304E" w:rsidR="0040433D" w:rsidRDefault="009E7B19" w:rsidP="009E7B19">
      <w:pPr>
        <w:pStyle w:val="Ttulo2"/>
      </w:pPr>
      <w:r>
        <w:t xml:space="preserve">4.3 </w:t>
      </w:r>
      <w:r w:rsidR="00E84AD6">
        <w:t>Componente Pedagógico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977"/>
        <w:gridCol w:w="1417"/>
        <w:gridCol w:w="2126"/>
      </w:tblGrid>
      <w:tr w:rsidR="001B2A6C" w:rsidRPr="001B2A6C" w14:paraId="052C15CB" w14:textId="77777777" w:rsidTr="009E7B19">
        <w:trPr>
          <w:trHeight w:val="169"/>
          <w:tblHeader/>
        </w:trPr>
        <w:tc>
          <w:tcPr>
            <w:tcW w:w="1975" w:type="dxa"/>
            <w:shd w:val="clear" w:color="000000" w:fill="FFFFFF"/>
            <w:vAlign w:val="center"/>
          </w:tcPr>
          <w:p w14:paraId="20998042" w14:textId="03ED2D32" w:rsidR="001B2A6C" w:rsidRPr="001B2A6C" w:rsidRDefault="001B2A6C" w:rsidP="001B2A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CATEGORÍA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BDA2B02" w14:textId="3CEB7A9B" w:rsidR="001B2A6C" w:rsidRPr="001B2A6C" w:rsidRDefault="001B2A6C" w:rsidP="001B2A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ACTIVIDAD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B0CD0F" w14:textId="30CB62ED" w:rsidR="001B2A6C" w:rsidRPr="001B2A6C" w:rsidRDefault="001B2A6C" w:rsidP="001B2A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FECHA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B7906B" w14:textId="059EF70B" w:rsidR="001B2A6C" w:rsidRPr="001B2A6C" w:rsidRDefault="001B2A6C" w:rsidP="001B2A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RESPONSABLE</w:t>
            </w:r>
          </w:p>
        </w:tc>
      </w:tr>
      <w:tr w:rsidR="00D617DE" w:rsidRPr="001B2A6C" w14:paraId="3212FEC4" w14:textId="77777777" w:rsidTr="00287CF1">
        <w:trPr>
          <w:trHeight w:val="930"/>
        </w:trPr>
        <w:tc>
          <w:tcPr>
            <w:tcW w:w="1975" w:type="dxa"/>
            <w:vMerge w:val="restart"/>
            <w:shd w:val="clear" w:color="000000" w:fill="FFFFFF"/>
            <w:vAlign w:val="center"/>
            <w:hideMark/>
          </w:tcPr>
          <w:p w14:paraId="784792BA" w14:textId="77777777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Sensibilización y capacitación</w:t>
            </w:r>
          </w:p>
          <w:p w14:paraId="7356DBDC" w14:textId="6CD4E726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63D7537" w14:textId="261AD2D6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Realizar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una 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estrategia de comunicación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interna y externa orientada a divulgar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la Política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de 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conflicto de intereses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y el Código de Integridad de la Unidad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C6A734" w14:textId="151C0EDF" w:rsidR="00D617DE" w:rsidRPr="001B2A6C" w:rsidRDefault="00B5761B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Fecha abierta para cada vigencia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67A477" w14:textId="77777777" w:rsidR="00D617DE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Administrativa y Financiera – Talento humano</w:t>
            </w:r>
          </w:p>
          <w:p w14:paraId="72426BA5" w14:textId="77777777" w:rsidR="00D617DE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  <w:p w14:paraId="06096922" w14:textId="7B1D9915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Asesora de Comunicaciones</w:t>
            </w:r>
          </w:p>
        </w:tc>
      </w:tr>
      <w:tr w:rsidR="00D617DE" w:rsidRPr="001B2A6C" w14:paraId="402535F2" w14:textId="77777777" w:rsidTr="00287CF1">
        <w:trPr>
          <w:trHeight w:val="1870"/>
        </w:trPr>
        <w:tc>
          <w:tcPr>
            <w:tcW w:w="1975" w:type="dxa"/>
            <w:vMerge/>
            <w:shd w:val="clear" w:color="000000" w:fill="FFFFFF"/>
            <w:vAlign w:val="center"/>
            <w:hideMark/>
          </w:tcPr>
          <w:p w14:paraId="1DC46EA3" w14:textId="01536B49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13D516FE" w14:textId="692CEB1F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Desarrollar</w:t>
            </w:r>
            <w:r w:rsidR="003928B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y gestionar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capacitación </w:t>
            </w:r>
            <w:r w:rsidR="003928B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abierta para funcionarios y contratistas, 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sobre la gestión de conflictos de intereses, su declaración proactiva, el cumplimiento de la Ley 2013 de 2019 y el trámite de los impedimentos y recusaciones de acuerdo al artículo 12 de la Ley 1437 de 2011 a través del Plan de Capacitación Institucional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 w:rsidR="009E7B19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–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PIC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DFD574" w14:textId="67E93E72" w:rsidR="00D617DE" w:rsidRPr="001B2A6C" w:rsidRDefault="00B5761B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Fecha abierta para cada vigencia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60CB268" w14:textId="51049B1D" w:rsidR="00D617DE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 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Administrativa y Financiera – Talento humano</w:t>
            </w:r>
          </w:p>
        </w:tc>
      </w:tr>
      <w:tr w:rsidR="001B2A6C" w:rsidRPr="001B2A6C" w14:paraId="1CDCA5BB" w14:textId="77777777" w:rsidTr="009E7B19">
        <w:trPr>
          <w:trHeight w:val="1250"/>
        </w:trPr>
        <w:tc>
          <w:tcPr>
            <w:tcW w:w="1975" w:type="dxa"/>
            <w:shd w:val="clear" w:color="000000" w:fill="FFFFFF"/>
            <w:vAlign w:val="center"/>
            <w:hideMark/>
          </w:tcPr>
          <w:p w14:paraId="6E93498C" w14:textId="10C71463" w:rsidR="001B2A6C" w:rsidRPr="001B2A6C" w:rsidRDefault="00D617DE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C</w:t>
            </w:r>
            <w:r w:rsidR="001B2A6C"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urso de integridad, transparencia y lucha contra la corrupción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23796863" w14:textId="2C0CFC5C" w:rsidR="001B2A6C" w:rsidRPr="001B2A6C" w:rsidRDefault="00533053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Socializar</w:t>
            </w: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 w:rsidR="001B2A6C"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a los servidores y contratistas de la entidad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los cursos y capacitaciones</w:t>
            </w:r>
            <w:r w:rsidR="00567010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, foros, seminarios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en temas de </w:t>
            </w:r>
            <w:r w:rsidR="001B2A6C"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integridad, transparencia y lucha contra la corrupción </w:t>
            </w:r>
            <w:r w:rsidR="00D617DE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que oferten 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lastRenderedPageBreak/>
              <w:t xml:space="preserve">la Función </w:t>
            </w:r>
            <w:r w:rsidR="00567010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ública y las Entidades del Distrito</w:t>
            </w:r>
            <w:r w:rsidR="00D617DE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3A6606E" w14:textId="41EF51A5" w:rsidR="001B2A6C" w:rsidRPr="001B2A6C" w:rsidRDefault="00B5761B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lastRenderedPageBreak/>
              <w:t>Fecha abierta para cada vigencia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CE13DC" w14:textId="12167B60" w:rsidR="001B2A6C" w:rsidRPr="001B2A6C" w:rsidRDefault="001B2A6C" w:rsidP="001B2A6C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D8529D"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D8529D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Administrativa y Financiera – Talento humano</w:t>
            </w:r>
          </w:p>
        </w:tc>
      </w:tr>
    </w:tbl>
    <w:p w14:paraId="327F54CA" w14:textId="77777777" w:rsidR="001B2A6C" w:rsidRDefault="001B2A6C"/>
    <w:p w14:paraId="0BA9F930" w14:textId="093A0E85" w:rsidR="0040433D" w:rsidRDefault="009E7B19" w:rsidP="009E7B19">
      <w:pPr>
        <w:pStyle w:val="Ttulo2"/>
      </w:pPr>
      <w:r>
        <w:t xml:space="preserve">4.4 </w:t>
      </w:r>
      <w:r w:rsidR="00E84AD6">
        <w:t xml:space="preserve">Componente de </w:t>
      </w:r>
      <w:r w:rsidR="00550B1C">
        <w:t xml:space="preserve">Seguimiento y </w:t>
      </w:r>
      <w:r w:rsidR="00E84AD6">
        <w:t>Evaluación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126"/>
      </w:tblGrid>
      <w:tr w:rsidR="00550B1C" w:rsidRPr="00550B1C" w14:paraId="36A87D3C" w14:textId="77777777" w:rsidTr="009E7B19">
        <w:trPr>
          <w:trHeight w:val="137"/>
        </w:trPr>
        <w:tc>
          <w:tcPr>
            <w:tcW w:w="1980" w:type="dxa"/>
            <w:vAlign w:val="center"/>
          </w:tcPr>
          <w:p w14:paraId="2C4C34A8" w14:textId="719C5572" w:rsidR="00550B1C" w:rsidRPr="00550B1C" w:rsidRDefault="00550B1C" w:rsidP="00550B1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CATEGORÍA</w:t>
            </w:r>
          </w:p>
        </w:tc>
        <w:tc>
          <w:tcPr>
            <w:tcW w:w="2977" w:type="dxa"/>
            <w:vAlign w:val="center"/>
          </w:tcPr>
          <w:p w14:paraId="028CD1D9" w14:textId="1586F6FE" w:rsidR="00550B1C" w:rsidRPr="00550B1C" w:rsidRDefault="00550B1C" w:rsidP="00550B1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ACTIVIDAD</w:t>
            </w:r>
          </w:p>
        </w:tc>
        <w:tc>
          <w:tcPr>
            <w:tcW w:w="1417" w:type="dxa"/>
            <w:vAlign w:val="center"/>
          </w:tcPr>
          <w:p w14:paraId="6F5B29E0" w14:textId="75BE3C6C" w:rsidR="00550B1C" w:rsidRPr="00550B1C" w:rsidRDefault="00550B1C" w:rsidP="00550B1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FECHA</w:t>
            </w:r>
          </w:p>
        </w:tc>
        <w:tc>
          <w:tcPr>
            <w:tcW w:w="2126" w:type="dxa"/>
            <w:noWrap/>
            <w:vAlign w:val="center"/>
          </w:tcPr>
          <w:p w14:paraId="1762717D" w14:textId="1E20E662" w:rsidR="00550B1C" w:rsidRPr="00550B1C" w:rsidRDefault="00550B1C" w:rsidP="00550B1C">
            <w:pPr>
              <w:jc w:val="center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C05755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val="es-CO" w:eastAsia="es-CO"/>
              </w:rPr>
              <w:t>RESPONSABLE</w:t>
            </w:r>
          </w:p>
        </w:tc>
      </w:tr>
      <w:tr w:rsidR="00550B1C" w:rsidRPr="00550B1C" w14:paraId="23EEDDA1" w14:textId="77777777" w:rsidTr="009E7B19">
        <w:trPr>
          <w:trHeight w:val="1326"/>
        </w:trPr>
        <w:tc>
          <w:tcPr>
            <w:tcW w:w="1980" w:type="dxa"/>
            <w:vAlign w:val="center"/>
            <w:hideMark/>
          </w:tcPr>
          <w:p w14:paraId="4B305E16" w14:textId="430D367B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Declaración de bienes, rentas y conflictos de intereses </w:t>
            </w:r>
          </w:p>
        </w:tc>
        <w:tc>
          <w:tcPr>
            <w:tcW w:w="2977" w:type="dxa"/>
            <w:vAlign w:val="center"/>
            <w:hideMark/>
          </w:tcPr>
          <w:p w14:paraId="19964CBC" w14:textId="57D4BCA3" w:rsidR="00550B1C" w:rsidRPr="00550B1C" w:rsidRDefault="00567010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Promover</w:t>
            </w: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que </w:t>
            </w:r>
            <w:r w:rsidR="00F6659F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los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servidores públicos y contratistas de la entidad obligados </w:t>
            </w:r>
            <w:r w:rsidR="00F6659F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de conformidad a las normas vigentes 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publiquen la declaración de bienes, rentas y conflicto de intereses en </w:t>
            </w:r>
            <w:r w:rsidR="00F6659F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los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aplicativo</w:t>
            </w:r>
            <w:r w:rsidR="00F6659F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establecido</w:t>
            </w:r>
            <w:r w:rsidR="00F6659F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</w:t>
            </w:r>
            <w:r w:rsidR="00550B1C"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7E4C2991" w14:textId="5A2BB598" w:rsidR="00B5761B" w:rsidRDefault="00B5761B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Para cada vigencia: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br/>
              <w:t>Primer corte a 3</w:t>
            </w:r>
            <w:r w:rsidR="00C34F07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 de ju</w:t>
            </w:r>
            <w:r w:rsidR="00C34F07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l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io</w:t>
            </w:r>
          </w:p>
          <w:p w14:paraId="360A9181" w14:textId="25842DFF" w:rsidR="00550B1C" w:rsidRPr="00550B1C" w:rsidRDefault="00B5761B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Segundo corte a 30 de diciembre</w:t>
            </w:r>
          </w:p>
        </w:tc>
        <w:tc>
          <w:tcPr>
            <w:tcW w:w="2126" w:type="dxa"/>
            <w:noWrap/>
            <w:vAlign w:val="center"/>
            <w:hideMark/>
          </w:tcPr>
          <w:p w14:paraId="44693E27" w14:textId="77777777" w:rsid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D8529D" w:rsidRPr="001B2A6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D8529D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Administrativa y Financiera – Talento humano</w:t>
            </w:r>
          </w:p>
          <w:p w14:paraId="60838F3A" w14:textId="77777777" w:rsidR="00D8529D" w:rsidRDefault="00D8529D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  <w:p w14:paraId="4E7CC719" w14:textId="7FB94F61" w:rsidR="00D8529D" w:rsidRPr="00550B1C" w:rsidRDefault="00D8529D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de Asuntos Legales</w:t>
            </w:r>
          </w:p>
        </w:tc>
      </w:tr>
      <w:tr w:rsidR="00550B1C" w:rsidRPr="00550B1C" w14:paraId="25C0525A" w14:textId="77777777" w:rsidTr="009E7B19">
        <w:trPr>
          <w:trHeight w:val="414"/>
        </w:trPr>
        <w:tc>
          <w:tcPr>
            <w:tcW w:w="1980" w:type="dxa"/>
            <w:vMerge w:val="restart"/>
            <w:vAlign w:val="center"/>
            <w:hideMark/>
          </w:tcPr>
          <w:p w14:paraId="2436315F" w14:textId="77777777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Registro de las declaraciones de conflictos de intereses</w:t>
            </w:r>
          </w:p>
          <w:p w14:paraId="1DB93146" w14:textId="4E10DC9B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vAlign w:val="center"/>
            <w:hideMark/>
          </w:tcPr>
          <w:p w14:paraId="64A3FE5A" w14:textId="7D31B391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 xml:space="preserve">Realizar seguimiento y monitoreo al registro de conflictos de intereses </w:t>
            </w:r>
            <w:r w:rsidR="003928B5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para funcionarios y contratistas</w:t>
            </w:r>
          </w:p>
        </w:tc>
        <w:tc>
          <w:tcPr>
            <w:tcW w:w="1417" w:type="dxa"/>
            <w:noWrap/>
            <w:vAlign w:val="center"/>
            <w:hideMark/>
          </w:tcPr>
          <w:p w14:paraId="23E0D90C" w14:textId="295803ED" w:rsidR="00C34F07" w:rsidRDefault="00C34F07" w:rsidP="00C34F07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Para cada vigencia:</w:t>
            </w: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br/>
              <w:t>Primer corte a 30 de junio</w:t>
            </w:r>
          </w:p>
          <w:p w14:paraId="0261BE2E" w14:textId="03F356DD" w:rsidR="00550B1C" w:rsidRPr="00550B1C" w:rsidRDefault="00C34F07" w:rsidP="00C34F07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Segundo corte a 30 de diciembre</w:t>
            </w:r>
          </w:p>
        </w:tc>
        <w:tc>
          <w:tcPr>
            <w:tcW w:w="2126" w:type="dxa"/>
            <w:noWrap/>
            <w:vAlign w:val="center"/>
            <w:hideMark/>
          </w:tcPr>
          <w:p w14:paraId="7AB0A3C5" w14:textId="77777777" w:rsidR="0019020C" w:rsidRDefault="0019020C" w:rsidP="0019020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Administrativa y Financiera – Talento humano</w:t>
            </w:r>
          </w:p>
          <w:p w14:paraId="6587A876" w14:textId="77777777" w:rsidR="0019020C" w:rsidRDefault="0019020C" w:rsidP="0019020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  <w:p w14:paraId="7AC9AB5F" w14:textId="0438D4FE" w:rsidR="00550B1C" w:rsidRPr="00550B1C" w:rsidRDefault="0019020C" w:rsidP="0019020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Subdirección de Asuntos Legales</w:t>
            </w:r>
          </w:p>
        </w:tc>
      </w:tr>
      <w:tr w:rsidR="00550B1C" w:rsidRPr="00550B1C" w14:paraId="00C1B3C6" w14:textId="77777777" w:rsidTr="009E7B19">
        <w:trPr>
          <w:trHeight w:val="2409"/>
        </w:trPr>
        <w:tc>
          <w:tcPr>
            <w:tcW w:w="1980" w:type="dxa"/>
            <w:vMerge/>
            <w:vAlign w:val="center"/>
            <w:hideMark/>
          </w:tcPr>
          <w:p w14:paraId="5E241465" w14:textId="4185396C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</w:p>
        </w:tc>
        <w:tc>
          <w:tcPr>
            <w:tcW w:w="2977" w:type="dxa"/>
            <w:vAlign w:val="center"/>
            <w:hideMark/>
          </w:tcPr>
          <w:p w14:paraId="292F4E65" w14:textId="6A5DD604" w:rsidR="00550B1C" w:rsidRPr="00550B1C" w:rsidRDefault="00B00A6B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271A22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Incluir en Plan Anual de Auditorías y desarrollar la verificación de las estrategias de gestión preventiva del conflicto de intereses formuladas en la planeación institucional y a la publicación de la declaración de bienes, rentas y conflictos de intereses de los servidores públicos y contratistas</w:t>
            </w:r>
            <w:r w:rsidR="00D617DE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16DF3B28" w14:textId="2BC6C513" w:rsidR="00550B1C" w:rsidRPr="00550B1C" w:rsidRDefault="00550B1C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 w:rsidRPr="00550B1C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 </w:t>
            </w:r>
            <w:r w:rsidR="003924BB"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Diciembre de cada vigencia</w:t>
            </w:r>
          </w:p>
        </w:tc>
        <w:tc>
          <w:tcPr>
            <w:tcW w:w="2126" w:type="dxa"/>
            <w:noWrap/>
            <w:vAlign w:val="center"/>
            <w:hideMark/>
          </w:tcPr>
          <w:p w14:paraId="0CED256E" w14:textId="105D50E1" w:rsidR="00550B1C" w:rsidRPr="00550B1C" w:rsidRDefault="00F87E2F" w:rsidP="00550B1C">
            <w:pPr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0"/>
                <w:lang w:val="es-CO" w:eastAsia="es-CO"/>
              </w:rPr>
              <w:t>Oficina de Control Interno</w:t>
            </w:r>
          </w:p>
        </w:tc>
      </w:tr>
    </w:tbl>
    <w:p w14:paraId="7D55DA29" w14:textId="77777777" w:rsidR="00550B1C" w:rsidRDefault="00550B1C"/>
    <w:p w14:paraId="51549A23" w14:textId="35AA0BAE" w:rsidR="0040433D" w:rsidRDefault="0040433D"/>
    <w:p w14:paraId="578ED951" w14:textId="1E33E0BA" w:rsidR="0040433D" w:rsidRDefault="0040433D"/>
    <w:p w14:paraId="4741136A" w14:textId="2692AD2A" w:rsidR="0040433D" w:rsidRDefault="0040433D"/>
    <w:p w14:paraId="6409EE0F" w14:textId="6BFEB26D" w:rsidR="0040433D" w:rsidRDefault="0040433D"/>
    <w:p w14:paraId="250FFEE7" w14:textId="71B2AEC5" w:rsidR="0040433D" w:rsidRDefault="0040433D"/>
    <w:p w14:paraId="6EE7A703" w14:textId="47FF0A36" w:rsidR="0040433D" w:rsidRDefault="0040433D"/>
    <w:p w14:paraId="1E3797A8" w14:textId="55C1B9EF" w:rsidR="0040433D" w:rsidRDefault="0040433D"/>
    <w:p w14:paraId="0406DE9E" w14:textId="1697103E" w:rsidR="0040433D" w:rsidRDefault="0040433D"/>
    <w:p w14:paraId="3C56E0E2" w14:textId="6BFE0714" w:rsidR="0040433D" w:rsidRDefault="0040433D"/>
    <w:p w14:paraId="7247E434" w14:textId="4B0A8A90" w:rsidR="0040433D" w:rsidRDefault="0040433D"/>
    <w:p w14:paraId="6E7290E6" w14:textId="3C2DB88C" w:rsidR="0040433D" w:rsidRDefault="0040433D"/>
    <w:p w14:paraId="410DA967" w14:textId="4428A664" w:rsidR="0040433D" w:rsidRDefault="0040433D"/>
    <w:p w14:paraId="6684193A" w14:textId="74C8AA2C" w:rsidR="0040433D" w:rsidRDefault="0040433D"/>
    <w:p w14:paraId="51354D99" w14:textId="04EECAEA" w:rsidR="0040433D" w:rsidRDefault="0040433D"/>
    <w:p w14:paraId="57EB2ECD" w14:textId="3A20A288" w:rsidR="0040433D" w:rsidRDefault="0040433D"/>
    <w:p w14:paraId="1107FFF8" w14:textId="1E1AF4AA" w:rsidR="0040433D" w:rsidRDefault="0040433D">
      <w:r w:rsidRPr="00E46D78">
        <w:rPr>
          <w:rFonts w:cstheme="minorHAnsi"/>
          <w:noProof/>
          <w:sz w:val="18"/>
          <w:szCs w:val="18"/>
          <w:lang w:val="es-CO"/>
        </w:rPr>
        <w:drawing>
          <wp:anchor distT="0" distB="0" distL="114300" distR="114300" simplePos="0" relativeHeight="251659264" behindDoc="0" locked="0" layoutInCell="1" allowOverlap="1" wp14:anchorId="0B28D9A1" wp14:editId="6E6179C0">
            <wp:simplePos x="0" y="0"/>
            <wp:positionH relativeFrom="page">
              <wp:align>left</wp:align>
            </wp:positionH>
            <wp:positionV relativeFrom="paragraph">
              <wp:posOffset>-1527810</wp:posOffset>
            </wp:positionV>
            <wp:extent cx="7767463" cy="10677218"/>
            <wp:effectExtent l="0" t="0" r="5080" b="0"/>
            <wp:wrapNone/>
            <wp:docPr id="3" name="Picture 2" descr="Imagen que contiene tarjeta de presentación, dibuj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7DBCF73-DF04-3140-84A1-3355A1C69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n que contiene tarjeta de presentación, dibujo&#10;&#10;Descripción generada automáticamente">
                      <a:extLst>
                        <a:ext uri="{FF2B5EF4-FFF2-40B4-BE49-F238E27FC236}">
                          <a16:creationId xmlns:a16="http://schemas.microsoft.com/office/drawing/2014/main" id="{37DBCF73-DF04-3140-84A1-3355A1C69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7"/>
                    <a:stretch/>
                  </pic:blipFill>
                  <pic:spPr bwMode="auto">
                    <a:xfrm>
                      <a:off x="0" y="0"/>
                      <a:ext cx="7767463" cy="1067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3A18" w14:textId="77777777" w:rsidR="0040433D" w:rsidRDefault="0040433D"/>
    <w:sectPr w:rsidR="0040433D" w:rsidSect="0040433D">
      <w:headerReference w:type="default" r:id="rId11"/>
      <w:footerReference w:type="default" r:id="rId12"/>
      <w:headerReference w:type="first" r:id="rId13"/>
      <w:pgSz w:w="11906" w:h="16838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CBF5" w14:textId="77777777" w:rsidR="00B9737B" w:rsidRDefault="00B9737B" w:rsidP="00CC21F0">
      <w:pPr>
        <w:spacing w:after="0" w:line="240" w:lineRule="auto"/>
      </w:pPr>
      <w:r>
        <w:separator/>
      </w:r>
    </w:p>
  </w:endnote>
  <w:endnote w:type="continuationSeparator" w:id="0">
    <w:p w14:paraId="19F0DCFE" w14:textId="77777777" w:rsidR="00B9737B" w:rsidRDefault="00B9737B" w:rsidP="00C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useo Sans Condensed 500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C6E5" w14:textId="77777777" w:rsidR="00CC21F0" w:rsidRDefault="00AD40E9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990DAC" wp14:editId="447FE893">
          <wp:simplePos x="0" y="0"/>
          <wp:positionH relativeFrom="page">
            <wp:posOffset>-197485</wp:posOffset>
          </wp:positionH>
          <wp:positionV relativeFrom="paragraph">
            <wp:posOffset>-517525</wp:posOffset>
          </wp:positionV>
          <wp:extent cx="7757872" cy="1123932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72" cy="112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52F6" w14:textId="77777777" w:rsidR="00B9737B" w:rsidRDefault="00B9737B" w:rsidP="00CC21F0">
      <w:pPr>
        <w:spacing w:after="0" w:line="240" w:lineRule="auto"/>
      </w:pPr>
      <w:r>
        <w:separator/>
      </w:r>
    </w:p>
  </w:footnote>
  <w:footnote w:type="continuationSeparator" w:id="0">
    <w:p w14:paraId="0685D6C4" w14:textId="77777777" w:rsidR="00B9737B" w:rsidRDefault="00B9737B" w:rsidP="00CC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01B" w14:textId="77777777" w:rsidR="00CC21F0" w:rsidRDefault="00CC21F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FD666" wp14:editId="70D0C817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4975" cy="1390650"/>
          <wp:effectExtent l="0" t="0" r="825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2A6B" w14:textId="40CDE4E2" w:rsidR="0040433D" w:rsidRDefault="0040433D">
    <w:pPr>
      <w:pStyle w:val="Encabezado"/>
    </w:pPr>
    <w:r w:rsidRPr="00831C73">
      <w:rPr>
        <w:noProof/>
      </w:rPr>
      <w:drawing>
        <wp:anchor distT="0" distB="0" distL="114300" distR="114300" simplePos="0" relativeHeight="251661312" behindDoc="1" locked="0" layoutInCell="1" allowOverlap="1" wp14:anchorId="35D27CF5" wp14:editId="588386C7">
          <wp:simplePos x="0" y="0"/>
          <wp:positionH relativeFrom="page">
            <wp:posOffset>-118300</wp:posOffset>
          </wp:positionH>
          <wp:positionV relativeFrom="paragraph">
            <wp:posOffset>-500380</wp:posOffset>
          </wp:positionV>
          <wp:extent cx="8292656" cy="10731500"/>
          <wp:effectExtent l="0" t="0" r="0" b="0"/>
          <wp:wrapNone/>
          <wp:docPr id="27" name="Picture 6" descr="Un dibujo con letr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81DB512-6476-284E-9EA6-717A66E4CF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Un dibujo con letr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81DB512-6476-284E-9EA6-717A66E4CF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607" cy="10732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EC"/>
    <w:multiLevelType w:val="hybridMultilevel"/>
    <w:tmpl w:val="46660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475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542F3B"/>
    <w:multiLevelType w:val="hybridMultilevel"/>
    <w:tmpl w:val="2F3447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6E03"/>
    <w:multiLevelType w:val="hybridMultilevel"/>
    <w:tmpl w:val="6EA29CE8"/>
    <w:lvl w:ilvl="0" w:tplc="E796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0"/>
    <w:rsid w:val="0000560F"/>
    <w:rsid w:val="000140C4"/>
    <w:rsid w:val="00014145"/>
    <w:rsid w:val="00023921"/>
    <w:rsid w:val="00047DD3"/>
    <w:rsid w:val="000A3785"/>
    <w:rsid w:val="000C1A8B"/>
    <w:rsid w:val="0019020C"/>
    <w:rsid w:val="00192E34"/>
    <w:rsid w:val="001B2A6C"/>
    <w:rsid w:val="0026039A"/>
    <w:rsid w:val="00271A22"/>
    <w:rsid w:val="00285A3B"/>
    <w:rsid w:val="00287076"/>
    <w:rsid w:val="002D5AAB"/>
    <w:rsid w:val="002E7D9B"/>
    <w:rsid w:val="0032341C"/>
    <w:rsid w:val="003569E7"/>
    <w:rsid w:val="003924BB"/>
    <w:rsid w:val="003928B5"/>
    <w:rsid w:val="0040433D"/>
    <w:rsid w:val="004143AA"/>
    <w:rsid w:val="004B142F"/>
    <w:rsid w:val="00512A4F"/>
    <w:rsid w:val="00533053"/>
    <w:rsid w:val="00544526"/>
    <w:rsid w:val="0054534A"/>
    <w:rsid w:val="00550B1C"/>
    <w:rsid w:val="005550E0"/>
    <w:rsid w:val="00567010"/>
    <w:rsid w:val="00567D1E"/>
    <w:rsid w:val="00594C6A"/>
    <w:rsid w:val="005D2ABE"/>
    <w:rsid w:val="005F28C8"/>
    <w:rsid w:val="005F5A69"/>
    <w:rsid w:val="0065540B"/>
    <w:rsid w:val="00657BA6"/>
    <w:rsid w:val="00665DC5"/>
    <w:rsid w:val="00672ABB"/>
    <w:rsid w:val="006E0718"/>
    <w:rsid w:val="006F6859"/>
    <w:rsid w:val="006F7D61"/>
    <w:rsid w:val="00710141"/>
    <w:rsid w:val="00710705"/>
    <w:rsid w:val="007177CD"/>
    <w:rsid w:val="007704DB"/>
    <w:rsid w:val="0077729B"/>
    <w:rsid w:val="00791994"/>
    <w:rsid w:val="007C5648"/>
    <w:rsid w:val="0080609B"/>
    <w:rsid w:val="008215B7"/>
    <w:rsid w:val="00821ED3"/>
    <w:rsid w:val="008634F5"/>
    <w:rsid w:val="00901D6B"/>
    <w:rsid w:val="009155DE"/>
    <w:rsid w:val="009251C6"/>
    <w:rsid w:val="0093705B"/>
    <w:rsid w:val="00967439"/>
    <w:rsid w:val="0099548B"/>
    <w:rsid w:val="009B2353"/>
    <w:rsid w:val="009B540E"/>
    <w:rsid w:val="009E354A"/>
    <w:rsid w:val="009E7B19"/>
    <w:rsid w:val="009F60BE"/>
    <w:rsid w:val="00A46D41"/>
    <w:rsid w:val="00A548DC"/>
    <w:rsid w:val="00A72CC6"/>
    <w:rsid w:val="00AC2444"/>
    <w:rsid w:val="00AC24EE"/>
    <w:rsid w:val="00AD40E9"/>
    <w:rsid w:val="00AE7468"/>
    <w:rsid w:val="00AF6623"/>
    <w:rsid w:val="00B00A6B"/>
    <w:rsid w:val="00B1269B"/>
    <w:rsid w:val="00B17367"/>
    <w:rsid w:val="00B17AD9"/>
    <w:rsid w:val="00B5761B"/>
    <w:rsid w:val="00B61F32"/>
    <w:rsid w:val="00B95916"/>
    <w:rsid w:val="00B9737B"/>
    <w:rsid w:val="00BC4C16"/>
    <w:rsid w:val="00BD122E"/>
    <w:rsid w:val="00BE7FBB"/>
    <w:rsid w:val="00C05755"/>
    <w:rsid w:val="00C11313"/>
    <w:rsid w:val="00C153BF"/>
    <w:rsid w:val="00C219F0"/>
    <w:rsid w:val="00C234DE"/>
    <w:rsid w:val="00C27532"/>
    <w:rsid w:val="00C34F07"/>
    <w:rsid w:val="00CA4528"/>
    <w:rsid w:val="00CC21F0"/>
    <w:rsid w:val="00CE54A6"/>
    <w:rsid w:val="00CF6C29"/>
    <w:rsid w:val="00D3569E"/>
    <w:rsid w:val="00D617DE"/>
    <w:rsid w:val="00D706BC"/>
    <w:rsid w:val="00D80017"/>
    <w:rsid w:val="00D8529D"/>
    <w:rsid w:val="00DA2361"/>
    <w:rsid w:val="00DD31D7"/>
    <w:rsid w:val="00DE18F6"/>
    <w:rsid w:val="00E473C0"/>
    <w:rsid w:val="00E504F6"/>
    <w:rsid w:val="00E84AD6"/>
    <w:rsid w:val="00ED344D"/>
    <w:rsid w:val="00EE6533"/>
    <w:rsid w:val="00EF48C2"/>
    <w:rsid w:val="00F1507D"/>
    <w:rsid w:val="00F62E25"/>
    <w:rsid w:val="00F6659F"/>
    <w:rsid w:val="00F87E2F"/>
    <w:rsid w:val="00FA7DFD"/>
    <w:rsid w:val="00FB085B"/>
    <w:rsid w:val="00FB1609"/>
    <w:rsid w:val="00FB3A42"/>
    <w:rsid w:val="00FC759D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7FF69"/>
  <w15:chartTrackingRefBased/>
  <w15:docId w15:val="{4B70A654-D3A8-40B1-BB08-C0DE3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61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E354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385623" w:themeColor="accent6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354A"/>
    <w:pPr>
      <w:keepNext/>
      <w:keepLines/>
      <w:spacing w:before="40" w:after="0"/>
      <w:outlineLvl w:val="1"/>
    </w:pPr>
    <w:rPr>
      <w:rFonts w:eastAsiaTheme="majorEastAsia" w:cstheme="majorBidi"/>
      <w:b/>
      <w:color w:val="385623" w:themeColor="accent6" w:themeShade="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F0"/>
  </w:style>
  <w:style w:type="paragraph" w:styleId="Piedepgina">
    <w:name w:val="footer"/>
    <w:basedOn w:val="Normal"/>
    <w:link w:val="PiedepginaCar"/>
    <w:uiPriority w:val="99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F0"/>
  </w:style>
  <w:style w:type="paragraph" w:styleId="Prrafodelista">
    <w:name w:val="List Paragraph"/>
    <w:basedOn w:val="Normal"/>
    <w:uiPriority w:val="34"/>
    <w:qFormat/>
    <w:rsid w:val="00A46D4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354A"/>
    <w:rPr>
      <w:rFonts w:ascii="Arial" w:eastAsiaTheme="majorEastAsia" w:hAnsi="Arial" w:cstheme="majorBidi"/>
      <w:b/>
      <w:color w:val="385623" w:themeColor="accent6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E354A"/>
    <w:rPr>
      <w:rFonts w:ascii="Arial" w:eastAsiaTheme="majorEastAsia" w:hAnsi="Arial" w:cstheme="majorBidi"/>
      <w:b/>
      <w:color w:val="385623" w:themeColor="accent6" w:themeShade="80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6F6859"/>
    <w:pPr>
      <w:spacing w:after="0" w:line="240" w:lineRule="auto"/>
      <w:contextualSpacing/>
    </w:pPr>
    <w:rPr>
      <w:rFonts w:eastAsiaTheme="majorEastAsia" w:cstheme="majorBidi"/>
      <w:b/>
      <w:i/>
      <w:color w:val="538135" w:themeColor="accent6" w:themeShade="BF"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859"/>
    <w:rPr>
      <w:rFonts w:ascii="Arial" w:eastAsiaTheme="majorEastAsia" w:hAnsi="Arial" w:cstheme="majorBidi"/>
      <w:b/>
      <w:i/>
      <w:color w:val="538135" w:themeColor="accent6" w:themeShade="BF"/>
      <w:spacing w:val="-10"/>
      <w:kern w:val="28"/>
      <w:sz w:val="20"/>
      <w:szCs w:val="56"/>
    </w:rPr>
  </w:style>
  <w:style w:type="table" w:styleId="Tablaconcuadrcula">
    <w:name w:val="Table Grid"/>
    <w:basedOn w:val="Tablanormal"/>
    <w:uiPriority w:val="39"/>
    <w:rsid w:val="00D8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B160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0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0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09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D2AB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F62E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0" ma:contentTypeDescription="Crear nuevo documento." ma:contentTypeScope="" ma:versionID="d84a0d98bfb6fc5a89cc2986fbe6bb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32AFF-C967-4F97-9EC3-11401FC37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94869-035A-4586-B379-C80664C6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52F9F-CE0F-4D5E-BEC7-29CF253F2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Roa Sabogal</dc:creator>
  <cp:keywords/>
  <dc:description/>
  <cp:lastModifiedBy>Kelly Johanna Avila Ravelo</cp:lastModifiedBy>
  <cp:revision>3</cp:revision>
  <dcterms:created xsi:type="dcterms:W3CDTF">2021-12-28T23:16:00Z</dcterms:created>
  <dcterms:modified xsi:type="dcterms:W3CDTF">2021-12-31T23:08:00Z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