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6CD81" w14:textId="77777777" w:rsidR="001E24AE" w:rsidRPr="00F1098A" w:rsidRDefault="001E24AE" w:rsidP="00E2023A">
      <w:pPr>
        <w:jc w:val="center"/>
        <w:rPr>
          <w:rFonts w:cstheme="minorHAnsi"/>
          <w:b/>
          <w:noProof/>
          <w:color w:val="4472C4" w:themeColor="accent1"/>
          <w:sz w:val="44"/>
        </w:rPr>
      </w:pPr>
    </w:p>
    <w:p w14:paraId="7CA69A83" w14:textId="77777777" w:rsidR="002311C3" w:rsidRPr="00F1098A" w:rsidRDefault="002311C3">
      <w:pPr>
        <w:rPr>
          <w:rFonts w:cstheme="minorHAnsi"/>
          <w:b/>
          <w:color w:val="4472C4" w:themeColor="accent1"/>
          <w:sz w:val="44"/>
        </w:rPr>
      </w:pPr>
    </w:p>
    <w:p w14:paraId="21CC908A" w14:textId="77777777" w:rsidR="00D321C5" w:rsidRDefault="00D321C5" w:rsidP="00E2023A">
      <w:pPr>
        <w:jc w:val="center"/>
        <w:rPr>
          <w:rFonts w:cstheme="minorHAnsi"/>
          <w:b/>
          <w:sz w:val="44"/>
        </w:rPr>
      </w:pPr>
      <w:r>
        <w:rPr>
          <w:rFonts w:cstheme="minorHAnsi"/>
          <w:b/>
          <w:sz w:val="44"/>
        </w:rPr>
        <w:t xml:space="preserve">ESTRATEGIA </w:t>
      </w:r>
      <w:r w:rsidR="006A083D" w:rsidRPr="00F1098A">
        <w:rPr>
          <w:rFonts w:cstheme="minorHAnsi"/>
          <w:b/>
          <w:sz w:val="44"/>
        </w:rPr>
        <w:t>DE RENDICIÓN DE CUENTAS</w:t>
      </w:r>
      <w:r w:rsidR="00E2023A" w:rsidRPr="00F1098A">
        <w:rPr>
          <w:rFonts w:cstheme="minorHAnsi"/>
          <w:b/>
          <w:sz w:val="44"/>
        </w:rPr>
        <w:t xml:space="preserve"> </w:t>
      </w:r>
    </w:p>
    <w:p w14:paraId="1E828CD4" w14:textId="5E490086" w:rsidR="002311C3" w:rsidRPr="00F1098A" w:rsidRDefault="001E24AE" w:rsidP="00E2023A">
      <w:pPr>
        <w:jc w:val="center"/>
        <w:rPr>
          <w:rFonts w:cstheme="minorHAnsi"/>
          <w:b/>
          <w:sz w:val="44"/>
        </w:rPr>
      </w:pPr>
      <w:r w:rsidRPr="00F1098A">
        <w:rPr>
          <w:rFonts w:cstheme="minorHAnsi"/>
          <w:b/>
          <w:sz w:val="44"/>
        </w:rPr>
        <w:t>20</w:t>
      </w:r>
      <w:r w:rsidR="008B5681">
        <w:rPr>
          <w:rFonts w:cstheme="minorHAnsi"/>
          <w:b/>
          <w:sz w:val="44"/>
        </w:rPr>
        <w:t>20</w:t>
      </w:r>
    </w:p>
    <w:p w14:paraId="11615099" w14:textId="77777777" w:rsidR="001E24AE" w:rsidRPr="00F1098A" w:rsidRDefault="001E24AE" w:rsidP="001E24AE">
      <w:pPr>
        <w:rPr>
          <w:rFonts w:cstheme="minorHAnsi"/>
          <w:b/>
          <w:sz w:val="44"/>
        </w:rPr>
      </w:pPr>
    </w:p>
    <w:p w14:paraId="17700785" w14:textId="77777777" w:rsidR="001E24AE" w:rsidRPr="00F1098A" w:rsidRDefault="001E24AE" w:rsidP="001E24AE">
      <w:pPr>
        <w:rPr>
          <w:rFonts w:cstheme="minorHAnsi"/>
          <w:b/>
          <w:sz w:val="44"/>
        </w:rPr>
      </w:pPr>
    </w:p>
    <w:p w14:paraId="3FDD3C61" w14:textId="77777777" w:rsidR="00A0009B" w:rsidRPr="00F1098A" w:rsidRDefault="00E2023A" w:rsidP="00E2023A">
      <w:pPr>
        <w:jc w:val="center"/>
        <w:rPr>
          <w:rFonts w:cstheme="minorHAnsi"/>
          <w:b/>
          <w:sz w:val="32"/>
        </w:rPr>
      </w:pPr>
      <w:r w:rsidRPr="00F1098A">
        <w:rPr>
          <w:rFonts w:cstheme="minorHAnsi"/>
          <w:b/>
          <w:sz w:val="32"/>
        </w:rPr>
        <w:t>UNIDAD ADMINISTRATIVA ESPECIAL DE SERVICIOS PÚBLICOS</w:t>
      </w:r>
    </w:p>
    <w:p w14:paraId="25621E85" w14:textId="77777777" w:rsidR="001E24AE" w:rsidRPr="00F1098A" w:rsidRDefault="001E24AE" w:rsidP="00E2023A">
      <w:pPr>
        <w:jc w:val="center"/>
        <w:rPr>
          <w:rFonts w:cstheme="minorHAnsi"/>
          <w:b/>
          <w:sz w:val="32"/>
        </w:rPr>
      </w:pPr>
      <w:r w:rsidRPr="00F1098A">
        <w:rPr>
          <w:rFonts w:cstheme="minorHAnsi"/>
          <w:b/>
          <w:sz w:val="32"/>
        </w:rPr>
        <w:t>OFICINA ASESORA DE PLANEACIÓN</w:t>
      </w:r>
    </w:p>
    <w:p w14:paraId="4039A085" w14:textId="77777777" w:rsidR="00E2023A" w:rsidRPr="00F1098A" w:rsidRDefault="00E2023A" w:rsidP="001E24AE">
      <w:pPr>
        <w:rPr>
          <w:rFonts w:cstheme="minorHAnsi"/>
          <w:b/>
          <w:sz w:val="44"/>
        </w:rPr>
      </w:pPr>
    </w:p>
    <w:p w14:paraId="3A13DD8E" w14:textId="77777777" w:rsidR="001E24AE" w:rsidRPr="00F1098A" w:rsidRDefault="001E24AE">
      <w:pPr>
        <w:rPr>
          <w:rFonts w:cstheme="minorHAnsi"/>
          <w:b/>
          <w:sz w:val="44"/>
        </w:rPr>
      </w:pPr>
    </w:p>
    <w:p w14:paraId="27275812" w14:textId="77777777" w:rsidR="00E2023A" w:rsidRPr="00F1098A" w:rsidRDefault="00E2023A">
      <w:pPr>
        <w:rPr>
          <w:rFonts w:cstheme="minorHAnsi"/>
          <w:b/>
          <w:sz w:val="44"/>
        </w:rPr>
      </w:pPr>
    </w:p>
    <w:p w14:paraId="2B6A68F5" w14:textId="5D1CA8E2" w:rsidR="00E2023A" w:rsidRPr="00F1098A" w:rsidRDefault="00E2023A" w:rsidP="00E2023A">
      <w:pPr>
        <w:jc w:val="center"/>
        <w:rPr>
          <w:rFonts w:cstheme="minorHAnsi"/>
          <w:sz w:val="36"/>
        </w:rPr>
      </w:pPr>
      <w:r w:rsidRPr="00F1098A">
        <w:rPr>
          <w:rFonts w:cstheme="minorHAnsi"/>
          <w:sz w:val="36"/>
        </w:rPr>
        <w:t xml:space="preserve">Bogotá D.C., </w:t>
      </w:r>
      <w:r w:rsidR="008B5681">
        <w:rPr>
          <w:rFonts w:cstheme="minorHAnsi"/>
          <w:sz w:val="36"/>
        </w:rPr>
        <w:t xml:space="preserve">enero </w:t>
      </w:r>
      <w:r w:rsidRPr="00F1098A">
        <w:rPr>
          <w:rFonts w:cstheme="minorHAnsi"/>
          <w:sz w:val="36"/>
        </w:rPr>
        <w:t>de 20</w:t>
      </w:r>
      <w:r w:rsidR="008B5681">
        <w:rPr>
          <w:rFonts w:cstheme="minorHAnsi"/>
          <w:sz w:val="36"/>
        </w:rPr>
        <w:t>20</w:t>
      </w:r>
    </w:p>
    <w:p w14:paraId="5785EF48" w14:textId="77777777" w:rsidR="001F48DC" w:rsidRPr="00F1098A" w:rsidRDefault="001F48DC">
      <w:pPr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s-ES" w:eastAsia="en-US"/>
        </w:rPr>
        <w:id w:val="-11301721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397FD6" w14:textId="77777777" w:rsidR="001F48DC" w:rsidRPr="00F1098A" w:rsidRDefault="001F48DC">
          <w:pPr>
            <w:pStyle w:val="TtuloTDC"/>
            <w:rPr>
              <w:rFonts w:asciiTheme="minorHAnsi" w:hAnsiTheme="minorHAnsi" w:cstheme="minorHAnsi"/>
              <w:b/>
              <w:color w:val="00B050"/>
              <w:sz w:val="24"/>
              <w:szCs w:val="24"/>
            </w:rPr>
          </w:pPr>
          <w:r w:rsidRPr="00F1098A">
            <w:rPr>
              <w:rFonts w:asciiTheme="minorHAnsi" w:hAnsiTheme="minorHAnsi" w:cstheme="minorHAnsi"/>
              <w:b/>
              <w:color w:val="00B050"/>
              <w:sz w:val="24"/>
              <w:szCs w:val="24"/>
              <w:lang w:val="es-ES"/>
            </w:rPr>
            <w:t>Contenido</w:t>
          </w:r>
        </w:p>
        <w:p w14:paraId="0E9D8933" w14:textId="5D9A2218" w:rsidR="00C138BD" w:rsidRDefault="001F48DC">
          <w:pPr>
            <w:pStyle w:val="TDC1"/>
            <w:tabs>
              <w:tab w:val="right" w:leader="dot" w:pos="12996"/>
            </w:tabs>
            <w:rPr>
              <w:rFonts w:eastAsiaTheme="minorEastAsia"/>
              <w:noProof/>
              <w:lang w:eastAsia="es-CO"/>
            </w:rPr>
          </w:pPr>
          <w:r w:rsidRPr="00F1098A">
            <w:rPr>
              <w:rFonts w:cstheme="minorHAnsi"/>
              <w:bCs/>
              <w:sz w:val="24"/>
              <w:szCs w:val="24"/>
              <w:lang w:val="es-ES"/>
            </w:rPr>
            <w:fldChar w:fldCharType="begin"/>
          </w:r>
          <w:r w:rsidRPr="00F1098A">
            <w:rPr>
              <w:rFonts w:cstheme="minorHAnsi"/>
              <w:bCs/>
              <w:sz w:val="24"/>
              <w:szCs w:val="24"/>
              <w:lang w:val="es-ES"/>
            </w:rPr>
            <w:instrText xml:space="preserve"> TOC \o "1-3" \h \z \u </w:instrText>
          </w:r>
          <w:r w:rsidRPr="00F1098A">
            <w:rPr>
              <w:rFonts w:cstheme="minorHAnsi"/>
              <w:bCs/>
              <w:sz w:val="24"/>
              <w:szCs w:val="24"/>
              <w:lang w:val="es-ES"/>
            </w:rPr>
            <w:fldChar w:fldCharType="separate"/>
          </w:r>
          <w:hyperlink w:anchor="_Toc33775747" w:history="1">
            <w:r w:rsidR="00C138BD" w:rsidRPr="009E4B39">
              <w:rPr>
                <w:rStyle w:val="Hipervnculo"/>
                <w:rFonts w:cstheme="minorHAnsi"/>
                <w:b/>
                <w:noProof/>
              </w:rPr>
              <w:t>Introducción</w:t>
            </w:r>
            <w:r w:rsidR="00C138BD">
              <w:rPr>
                <w:noProof/>
                <w:webHidden/>
              </w:rPr>
              <w:tab/>
            </w:r>
            <w:r w:rsidR="00C138BD">
              <w:rPr>
                <w:noProof/>
                <w:webHidden/>
              </w:rPr>
              <w:fldChar w:fldCharType="begin"/>
            </w:r>
            <w:r w:rsidR="00C138BD">
              <w:rPr>
                <w:noProof/>
                <w:webHidden/>
              </w:rPr>
              <w:instrText xml:space="preserve"> PAGEREF _Toc33775747 \h </w:instrText>
            </w:r>
            <w:r w:rsidR="00C138BD">
              <w:rPr>
                <w:noProof/>
                <w:webHidden/>
              </w:rPr>
            </w:r>
            <w:r w:rsidR="00C138BD">
              <w:rPr>
                <w:noProof/>
                <w:webHidden/>
              </w:rPr>
              <w:fldChar w:fldCharType="separate"/>
            </w:r>
            <w:r w:rsidR="00C138BD">
              <w:rPr>
                <w:noProof/>
                <w:webHidden/>
              </w:rPr>
              <w:t>3</w:t>
            </w:r>
            <w:r w:rsidR="00C138BD">
              <w:rPr>
                <w:noProof/>
                <w:webHidden/>
              </w:rPr>
              <w:fldChar w:fldCharType="end"/>
            </w:r>
          </w:hyperlink>
        </w:p>
        <w:p w14:paraId="4CA527DE" w14:textId="39FAD526" w:rsidR="00C138BD" w:rsidRDefault="00C138BD">
          <w:pPr>
            <w:pStyle w:val="TDC1"/>
            <w:tabs>
              <w:tab w:val="left" w:pos="440"/>
              <w:tab w:val="right" w:leader="dot" w:pos="12996"/>
            </w:tabs>
            <w:rPr>
              <w:rFonts w:eastAsiaTheme="minorEastAsia"/>
              <w:noProof/>
              <w:lang w:eastAsia="es-CO"/>
            </w:rPr>
          </w:pPr>
          <w:hyperlink w:anchor="_Toc33775748" w:history="1">
            <w:r w:rsidRPr="009E4B39">
              <w:rPr>
                <w:rStyle w:val="Hipervnculo"/>
                <w:rFonts w:cstheme="minorHAnsi"/>
                <w:b/>
                <w:noProof/>
              </w:rPr>
              <w:t>1.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9E4B39">
              <w:rPr>
                <w:rStyle w:val="Hipervnculo"/>
                <w:rFonts w:cstheme="minorHAnsi"/>
                <w:b/>
                <w:noProof/>
              </w:rPr>
              <w:t>Conceptos básicos de rendición de cuentas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_Toc33775748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74E48" w14:textId="6E069FAD" w:rsidR="00C138BD" w:rsidRDefault="00C138BD">
          <w:pPr>
            <w:pStyle w:val="TDC1"/>
            <w:tabs>
              <w:tab w:val="left" w:pos="440"/>
              <w:tab w:val="right" w:leader="dot" w:pos="12996"/>
            </w:tabs>
            <w:rPr>
              <w:rFonts w:eastAsiaTheme="minorEastAsia"/>
              <w:noProof/>
              <w:lang w:eastAsia="es-CO"/>
            </w:rPr>
          </w:pPr>
          <w:hyperlink w:anchor="_Toc33775749" w:history="1">
            <w:r w:rsidRPr="009E4B39">
              <w:rPr>
                <w:rStyle w:val="Hipervnculo"/>
                <w:rFonts w:cstheme="minorHAnsi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9E4B39">
              <w:rPr>
                <w:rStyle w:val="Hipervnculo"/>
                <w:rFonts w:cstheme="minorHAnsi"/>
                <w:b/>
                <w:noProof/>
              </w:rPr>
              <w:t>Diagnóstico de rendición de cuentas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_Toc33775749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309CF" w14:textId="7E46F98C" w:rsidR="00C138BD" w:rsidRDefault="00C138BD">
          <w:pPr>
            <w:pStyle w:val="TDC1"/>
            <w:tabs>
              <w:tab w:val="left" w:pos="440"/>
              <w:tab w:val="right" w:leader="dot" w:pos="12996"/>
            </w:tabs>
            <w:rPr>
              <w:rFonts w:eastAsiaTheme="minorEastAsia"/>
              <w:noProof/>
              <w:lang w:eastAsia="es-CO"/>
            </w:rPr>
          </w:pPr>
          <w:hyperlink w:anchor="_Toc33775750" w:history="1">
            <w:r w:rsidRPr="009E4B39">
              <w:rPr>
                <w:rStyle w:val="Hipervnculo"/>
                <w:rFonts w:cstheme="minorHAnsi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9E4B39">
              <w:rPr>
                <w:rStyle w:val="Hipervnculo"/>
                <w:rFonts w:cstheme="minorHAnsi"/>
                <w:b/>
                <w:noProof/>
              </w:rPr>
              <w:t>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_Toc33775750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C022C" w14:textId="301E9EE4" w:rsidR="00C138BD" w:rsidRDefault="00C138BD">
          <w:pPr>
            <w:pStyle w:val="TDC2"/>
            <w:tabs>
              <w:tab w:val="right" w:leader="dot" w:pos="12996"/>
            </w:tabs>
            <w:rPr>
              <w:rFonts w:eastAsiaTheme="minorEastAsia"/>
              <w:noProof/>
              <w:lang w:eastAsia="es-CO"/>
            </w:rPr>
          </w:pPr>
          <w:hyperlink w:anchor="_Toc33775751" w:history="1">
            <w:r w:rsidRPr="009E4B39">
              <w:rPr>
                <w:rStyle w:val="Hipervnculo"/>
                <w:b/>
                <w:bCs/>
                <w:noProof/>
              </w:rPr>
              <w:t>3.1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_Toc33775751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C1FC3" w14:textId="3042BB1F" w:rsidR="00C138BD" w:rsidRDefault="00C138BD">
          <w:pPr>
            <w:pStyle w:val="TDC1"/>
            <w:tabs>
              <w:tab w:val="left" w:pos="440"/>
              <w:tab w:val="right" w:leader="dot" w:pos="12996"/>
            </w:tabs>
            <w:rPr>
              <w:rFonts w:eastAsiaTheme="minorEastAsia"/>
              <w:noProof/>
              <w:lang w:eastAsia="es-CO"/>
            </w:rPr>
          </w:pPr>
          <w:hyperlink w:anchor="_Toc33775752" w:history="1">
            <w:r w:rsidRPr="009E4B39">
              <w:rPr>
                <w:rStyle w:val="Hipervnculo"/>
                <w:rFonts w:cstheme="minorHAnsi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9E4B39">
              <w:rPr>
                <w:rStyle w:val="Hipervnculo"/>
                <w:rFonts w:cstheme="minorHAnsi"/>
                <w:b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_Toc33775752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B4425" w14:textId="5274556E" w:rsidR="00C138BD" w:rsidRDefault="00C138BD">
          <w:pPr>
            <w:pStyle w:val="TDC1"/>
            <w:tabs>
              <w:tab w:val="left" w:pos="440"/>
              <w:tab w:val="right" w:leader="dot" w:pos="12996"/>
            </w:tabs>
            <w:rPr>
              <w:rFonts w:eastAsiaTheme="minorEastAsia"/>
              <w:noProof/>
              <w:lang w:eastAsia="es-CO"/>
            </w:rPr>
          </w:pPr>
          <w:hyperlink w:anchor="_Toc33775753" w:history="1">
            <w:r w:rsidRPr="009E4B39">
              <w:rPr>
                <w:rStyle w:val="Hipervnculo"/>
                <w:rFonts w:cstheme="minorHAnsi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9E4B39">
              <w:rPr>
                <w:rStyle w:val="Hipervnculo"/>
                <w:rFonts w:cstheme="minorHAnsi"/>
                <w:b/>
                <w:noProof/>
              </w:rPr>
              <w:t>Estrategia de rendición de cuentas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_Toc33775753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0B60D" w14:textId="6A622425" w:rsidR="001F48DC" w:rsidRPr="00F1098A" w:rsidRDefault="001F48DC">
          <w:pPr>
            <w:rPr>
              <w:rFonts w:cstheme="minorHAnsi"/>
            </w:rPr>
          </w:pPr>
          <w:r w:rsidRPr="00F1098A">
            <w:rPr>
              <w:rFonts w:cstheme="minorHAnsi"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00B4DA62" w14:textId="77777777" w:rsidR="001F48DC" w:rsidRPr="00F1098A" w:rsidRDefault="001F48DC">
      <w:pPr>
        <w:rPr>
          <w:rFonts w:cstheme="minorHAnsi"/>
        </w:rPr>
      </w:pPr>
    </w:p>
    <w:p w14:paraId="352A83EB" w14:textId="77777777" w:rsidR="005E2F2F" w:rsidRPr="00F1098A" w:rsidRDefault="005E2F2F">
      <w:pPr>
        <w:rPr>
          <w:rFonts w:cstheme="minorHAnsi"/>
        </w:rPr>
      </w:pPr>
    </w:p>
    <w:p w14:paraId="3B13AF8E" w14:textId="77777777" w:rsidR="005E2F2F" w:rsidRPr="00F1098A" w:rsidRDefault="005E2F2F">
      <w:pPr>
        <w:rPr>
          <w:rFonts w:cstheme="minorHAnsi"/>
        </w:rPr>
      </w:pPr>
    </w:p>
    <w:p w14:paraId="7D42B01D" w14:textId="77777777" w:rsidR="005E2F2F" w:rsidRPr="00F1098A" w:rsidRDefault="005E2F2F">
      <w:pPr>
        <w:rPr>
          <w:rFonts w:cstheme="minorHAnsi"/>
        </w:rPr>
      </w:pPr>
    </w:p>
    <w:p w14:paraId="026B42AC" w14:textId="77777777" w:rsidR="005E2F2F" w:rsidRPr="00F1098A" w:rsidRDefault="005E2F2F">
      <w:pPr>
        <w:rPr>
          <w:rFonts w:cstheme="minorHAnsi"/>
        </w:rPr>
      </w:pPr>
    </w:p>
    <w:p w14:paraId="67E976F5" w14:textId="77777777" w:rsidR="005E2F2F" w:rsidRPr="00F1098A" w:rsidRDefault="005E2F2F">
      <w:pPr>
        <w:rPr>
          <w:rFonts w:cstheme="minorHAnsi"/>
        </w:rPr>
      </w:pPr>
    </w:p>
    <w:p w14:paraId="028570DF" w14:textId="77777777" w:rsidR="005E2F2F" w:rsidRPr="00F1098A" w:rsidRDefault="005E2F2F">
      <w:pPr>
        <w:rPr>
          <w:rFonts w:cstheme="minorHAnsi"/>
        </w:rPr>
      </w:pPr>
    </w:p>
    <w:p w14:paraId="5447D9A7" w14:textId="77777777" w:rsidR="005E2F2F" w:rsidRPr="00F1098A" w:rsidRDefault="005E2F2F">
      <w:pPr>
        <w:rPr>
          <w:rFonts w:cstheme="minorHAnsi"/>
        </w:rPr>
      </w:pPr>
    </w:p>
    <w:p w14:paraId="6375AFD0" w14:textId="77777777" w:rsidR="005E2F2F" w:rsidRPr="00F1098A" w:rsidRDefault="005E2F2F">
      <w:pPr>
        <w:rPr>
          <w:rFonts w:cstheme="minorHAnsi"/>
        </w:rPr>
      </w:pPr>
    </w:p>
    <w:p w14:paraId="34E6AEBB" w14:textId="73B58AD5" w:rsidR="005E2F2F" w:rsidRPr="00F1098A" w:rsidRDefault="005E2F2F">
      <w:pPr>
        <w:rPr>
          <w:rFonts w:cstheme="minorHAnsi"/>
        </w:rPr>
      </w:pPr>
    </w:p>
    <w:p w14:paraId="169C0711" w14:textId="7AC7CA0D" w:rsidR="0057685E" w:rsidRPr="00F1098A" w:rsidRDefault="0057685E">
      <w:pPr>
        <w:rPr>
          <w:rFonts w:cstheme="minorHAnsi"/>
        </w:rPr>
      </w:pPr>
    </w:p>
    <w:p w14:paraId="5D9F3B5F" w14:textId="40B5A605" w:rsidR="0057685E" w:rsidRPr="00F1098A" w:rsidRDefault="0057685E">
      <w:pPr>
        <w:rPr>
          <w:rFonts w:cstheme="minorHAnsi"/>
        </w:rPr>
      </w:pPr>
    </w:p>
    <w:p w14:paraId="13AEE6FC" w14:textId="37E00ADE" w:rsidR="0057685E" w:rsidRPr="00F1098A" w:rsidRDefault="0057685E">
      <w:pPr>
        <w:rPr>
          <w:rFonts w:cstheme="minorHAnsi"/>
        </w:rPr>
      </w:pPr>
    </w:p>
    <w:p w14:paraId="290DBEC4" w14:textId="0F5C300F" w:rsidR="0057685E" w:rsidRPr="00F1098A" w:rsidRDefault="0057685E">
      <w:pPr>
        <w:rPr>
          <w:rFonts w:cstheme="minorHAnsi"/>
        </w:rPr>
      </w:pPr>
    </w:p>
    <w:p w14:paraId="3782DFC0" w14:textId="77777777" w:rsidR="001F48DC" w:rsidRPr="00F1098A" w:rsidRDefault="00F67F1F" w:rsidP="00C162D5">
      <w:pPr>
        <w:pStyle w:val="Ttulo1"/>
        <w:jc w:val="center"/>
        <w:rPr>
          <w:rFonts w:asciiTheme="minorHAnsi" w:eastAsiaTheme="minorHAnsi" w:hAnsiTheme="minorHAnsi" w:cstheme="minorHAnsi"/>
          <w:b/>
          <w:color w:val="00B050"/>
          <w:sz w:val="28"/>
          <w:szCs w:val="24"/>
        </w:rPr>
      </w:pPr>
      <w:bookmarkStart w:id="0" w:name="_Toc33775747"/>
      <w:r w:rsidRPr="00F1098A">
        <w:rPr>
          <w:rFonts w:asciiTheme="minorHAnsi" w:eastAsiaTheme="minorHAnsi" w:hAnsiTheme="minorHAnsi" w:cstheme="minorHAnsi"/>
          <w:b/>
          <w:color w:val="00B050"/>
          <w:sz w:val="28"/>
          <w:szCs w:val="24"/>
        </w:rPr>
        <w:t>Introducción</w:t>
      </w:r>
      <w:bookmarkEnd w:id="0"/>
    </w:p>
    <w:p w14:paraId="32CE927B" w14:textId="77777777" w:rsidR="0009611E" w:rsidRPr="00F1098A" w:rsidRDefault="0009611E" w:rsidP="0009611E">
      <w:pPr>
        <w:rPr>
          <w:rFonts w:cstheme="minorHAnsi"/>
          <w:sz w:val="24"/>
          <w:szCs w:val="24"/>
        </w:rPr>
      </w:pPr>
    </w:p>
    <w:p w14:paraId="2F48E15E" w14:textId="499EA430" w:rsidR="00434134" w:rsidRPr="007A26EB" w:rsidRDefault="008B5681" w:rsidP="00434134">
      <w:pPr>
        <w:jc w:val="both"/>
        <w:rPr>
          <w:rFonts w:cstheme="minorHAnsi"/>
          <w:sz w:val="24"/>
          <w:szCs w:val="24"/>
        </w:rPr>
      </w:pPr>
      <w:r w:rsidRPr="007A26EB">
        <w:rPr>
          <w:rFonts w:cstheme="minorHAnsi"/>
        </w:rPr>
        <w:t>La rendición de cuenta</w:t>
      </w:r>
      <w:r>
        <w:rPr>
          <w:rFonts w:cstheme="minorHAnsi"/>
        </w:rPr>
        <w:t>s</w:t>
      </w:r>
      <w:r w:rsidRPr="007A26EB">
        <w:rPr>
          <w:rFonts w:cstheme="minorHAnsi"/>
        </w:rPr>
        <w:t xml:space="preserve"> </w:t>
      </w:r>
      <w:r w:rsidR="00434134">
        <w:rPr>
          <w:rFonts w:cstheme="minorHAnsi"/>
        </w:rPr>
        <w:t xml:space="preserve">es un proceso permanente para la generación de espacios de diálogo con nuestros grupos de interés, a través de mecanismos de control social, evaluación de la gestión y adopción de principios de buen gobierno, de acuerdo con lo definido por la Ley 1757 de 2015 </w:t>
      </w:r>
      <w:r w:rsidR="00434134" w:rsidRPr="007A26EB">
        <w:rPr>
          <w:rFonts w:cstheme="minorHAnsi"/>
          <w:sz w:val="24"/>
          <w:szCs w:val="24"/>
        </w:rPr>
        <w:t>2015</w:t>
      </w:r>
      <w:r w:rsidR="00434134">
        <w:rPr>
          <w:rFonts w:cstheme="minorHAnsi"/>
          <w:sz w:val="24"/>
          <w:szCs w:val="24"/>
        </w:rPr>
        <w:t xml:space="preserve"> </w:t>
      </w:r>
      <w:r w:rsidR="00434134" w:rsidRPr="001015AC">
        <w:rPr>
          <w:rFonts w:ascii="Arial" w:hAnsi="Arial" w:cs="Arial"/>
          <w:bCs/>
          <w:i/>
          <w:iCs/>
          <w:color w:val="333333"/>
          <w:sz w:val="20"/>
          <w:szCs w:val="20"/>
          <w:shd w:val="clear" w:color="auto" w:fill="FFFFFF"/>
        </w:rPr>
        <w:t>“</w:t>
      </w:r>
      <w:r w:rsidR="00434134" w:rsidRPr="005E2F2F">
        <w:rPr>
          <w:rFonts w:cstheme="minorHAnsi"/>
          <w:i/>
          <w:sz w:val="24"/>
          <w:szCs w:val="24"/>
        </w:rPr>
        <w:t>Por la cual se dictan disposiciones en materia de promoción y protección del derecho a la participación democrática</w:t>
      </w:r>
      <w:r w:rsidR="00434134">
        <w:rPr>
          <w:rFonts w:ascii="Arial" w:hAnsi="Arial" w:cs="Arial"/>
          <w:b/>
          <w:bCs/>
          <w:i/>
          <w:iCs/>
          <w:color w:val="333333"/>
          <w:sz w:val="23"/>
          <w:szCs w:val="23"/>
          <w:shd w:val="clear" w:color="auto" w:fill="FFFFFF"/>
        </w:rPr>
        <w:t>”</w:t>
      </w:r>
      <w:r w:rsidR="00434134" w:rsidRPr="007A26EB">
        <w:rPr>
          <w:rFonts w:cstheme="minorHAnsi"/>
          <w:sz w:val="24"/>
          <w:szCs w:val="24"/>
        </w:rPr>
        <w:t xml:space="preserve"> y </w:t>
      </w:r>
      <w:r w:rsidR="00434134">
        <w:rPr>
          <w:rFonts w:cstheme="minorHAnsi"/>
          <w:sz w:val="24"/>
          <w:szCs w:val="24"/>
        </w:rPr>
        <w:t xml:space="preserve">formulada </w:t>
      </w:r>
      <w:r w:rsidR="00434134" w:rsidRPr="007A26EB">
        <w:rPr>
          <w:rFonts w:cstheme="minorHAnsi"/>
          <w:sz w:val="24"/>
          <w:szCs w:val="24"/>
        </w:rPr>
        <w:t>de acuerdo con los lineamientos del Manual Único de Rendición de Cuentas e incluido en el tercer componente del Plan Anticorrupción y de Atención al Ciudadano.</w:t>
      </w:r>
    </w:p>
    <w:p w14:paraId="149A04F5" w14:textId="77777777" w:rsidR="00A62D04" w:rsidRPr="00F1098A" w:rsidRDefault="00A62D04" w:rsidP="002F4476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</w:p>
    <w:p w14:paraId="73BCECB7" w14:textId="77777777" w:rsidR="00B60BB3" w:rsidRPr="00F1098A" w:rsidRDefault="00B60BB3" w:rsidP="00B60BB3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s-CO"/>
        </w:rPr>
      </w:pPr>
    </w:p>
    <w:p w14:paraId="31D20DC9" w14:textId="77777777" w:rsidR="00B60BB3" w:rsidRPr="00F1098A" w:rsidRDefault="00B60BB3" w:rsidP="00B60BB3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s-CO"/>
        </w:rPr>
      </w:pPr>
    </w:p>
    <w:p w14:paraId="6267A1AC" w14:textId="77777777" w:rsidR="00B60BB3" w:rsidRPr="00F1098A" w:rsidRDefault="00B60BB3" w:rsidP="00B60BB3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s-CO"/>
        </w:rPr>
      </w:pPr>
    </w:p>
    <w:p w14:paraId="3CB23287" w14:textId="77777777" w:rsidR="00B60BB3" w:rsidRPr="00F1098A" w:rsidRDefault="00B60BB3" w:rsidP="00B60BB3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s-CO"/>
        </w:rPr>
      </w:pPr>
    </w:p>
    <w:p w14:paraId="1B49463A" w14:textId="7C56CA77" w:rsidR="00B60BB3" w:rsidRPr="00F1098A" w:rsidRDefault="00B60BB3" w:rsidP="00B60BB3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s-CO"/>
        </w:rPr>
      </w:pPr>
    </w:p>
    <w:p w14:paraId="28A2332A" w14:textId="77777777" w:rsidR="00C162D5" w:rsidRPr="00F1098A" w:rsidRDefault="00C162D5" w:rsidP="00B60BB3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s-CO"/>
        </w:rPr>
      </w:pPr>
    </w:p>
    <w:p w14:paraId="6517E919" w14:textId="77777777" w:rsidR="007A26EB" w:rsidRPr="00F1098A" w:rsidRDefault="007A26EB" w:rsidP="00B60BB3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s-CO"/>
        </w:rPr>
      </w:pPr>
    </w:p>
    <w:p w14:paraId="61564F9A" w14:textId="77777777" w:rsidR="007634B4" w:rsidRPr="00F1098A" w:rsidRDefault="007634B4" w:rsidP="00B60BB3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s-CO"/>
        </w:rPr>
      </w:pPr>
    </w:p>
    <w:p w14:paraId="4738B9E3" w14:textId="77777777" w:rsidR="007634B4" w:rsidRPr="00F1098A" w:rsidRDefault="007634B4" w:rsidP="00B60BB3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s-CO"/>
        </w:rPr>
      </w:pPr>
    </w:p>
    <w:p w14:paraId="6640055D" w14:textId="77777777" w:rsidR="007634B4" w:rsidRPr="00F1098A" w:rsidRDefault="007634B4" w:rsidP="00B60BB3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s-CO"/>
        </w:rPr>
      </w:pPr>
    </w:p>
    <w:p w14:paraId="411AC110" w14:textId="77777777" w:rsidR="007634B4" w:rsidRPr="00F1098A" w:rsidRDefault="007634B4" w:rsidP="00B60BB3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s-CO"/>
        </w:rPr>
      </w:pPr>
    </w:p>
    <w:p w14:paraId="1EC3311C" w14:textId="1AA3E5B1" w:rsidR="00275B05" w:rsidRPr="00F1098A" w:rsidRDefault="00275B05" w:rsidP="00275B05">
      <w:pPr>
        <w:pStyle w:val="Ttulo1"/>
        <w:numPr>
          <w:ilvl w:val="0"/>
          <w:numId w:val="8"/>
        </w:numPr>
        <w:ind w:left="426" w:hanging="426"/>
        <w:rPr>
          <w:rFonts w:asciiTheme="minorHAnsi" w:eastAsiaTheme="minorHAnsi" w:hAnsiTheme="minorHAnsi" w:cstheme="minorHAnsi"/>
          <w:b/>
          <w:color w:val="00B050"/>
          <w:sz w:val="24"/>
          <w:szCs w:val="24"/>
        </w:rPr>
      </w:pPr>
      <w:bookmarkStart w:id="1" w:name="_Toc33775749"/>
      <w:bookmarkStart w:id="2" w:name="_GoBack"/>
      <w:bookmarkEnd w:id="2"/>
      <w:r w:rsidRPr="00F1098A">
        <w:rPr>
          <w:rFonts w:asciiTheme="minorHAnsi" w:eastAsiaTheme="minorHAnsi" w:hAnsiTheme="minorHAnsi" w:cstheme="minorHAnsi"/>
          <w:b/>
          <w:color w:val="00B050"/>
          <w:sz w:val="24"/>
          <w:szCs w:val="24"/>
        </w:rPr>
        <w:lastRenderedPageBreak/>
        <w:t>Diagnóstico de rendición de cuentas</w:t>
      </w:r>
      <w:r w:rsidR="001D076C">
        <w:rPr>
          <w:rStyle w:val="Refdenotaalpie"/>
          <w:rFonts w:asciiTheme="minorHAnsi" w:eastAsiaTheme="minorHAnsi" w:hAnsiTheme="minorHAnsi" w:cstheme="minorHAnsi"/>
          <w:b/>
          <w:color w:val="00B050"/>
          <w:sz w:val="24"/>
          <w:szCs w:val="24"/>
        </w:rPr>
        <w:footnoteReference w:id="1"/>
      </w:r>
      <w:bookmarkEnd w:id="1"/>
    </w:p>
    <w:p w14:paraId="413FC23C" w14:textId="77777777" w:rsidR="00275B05" w:rsidRPr="00F1098A" w:rsidRDefault="00275B05" w:rsidP="00275B05">
      <w:pPr>
        <w:rPr>
          <w:rFonts w:cstheme="minorHAnsi"/>
        </w:rPr>
      </w:pPr>
    </w:p>
    <w:p w14:paraId="460B4114" w14:textId="77777777" w:rsidR="00275B05" w:rsidRPr="00F1098A" w:rsidRDefault="00275B05" w:rsidP="00275B05">
      <w:pPr>
        <w:jc w:val="both"/>
        <w:rPr>
          <w:rFonts w:cstheme="minorHAnsi"/>
          <w:sz w:val="24"/>
        </w:rPr>
      </w:pPr>
      <w:r w:rsidRPr="00F1098A">
        <w:rPr>
          <w:rFonts w:cstheme="minorHAnsi"/>
          <w:sz w:val="24"/>
        </w:rPr>
        <w:t>De acuerdo con los lineamientos definidos por el Departamento Administrativo de la Función Pública y la programación del seguimiento de la autoevaluación de la política de rendición de cuentas, con corte al mes de diciembre se obtuvo un resultado de 100% pasando del nivel de madurez consolidado a perfeccionamiento, cumplimiento con la meta establecida en la estrategia de rendición de cuentas 2019.</w:t>
      </w:r>
    </w:p>
    <w:p w14:paraId="38CC6878" w14:textId="77777777" w:rsidR="00275B05" w:rsidRPr="00F1098A" w:rsidRDefault="00275B05" w:rsidP="00275B05">
      <w:pPr>
        <w:jc w:val="both"/>
        <w:rPr>
          <w:rFonts w:cstheme="minorHAnsi"/>
          <w:sz w:val="24"/>
          <w:szCs w:val="24"/>
        </w:rPr>
      </w:pPr>
      <w:r w:rsidRPr="00F1098A">
        <w:rPr>
          <w:rFonts w:cstheme="minorHAnsi"/>
          <w:sz w:val="24"/>
          <w:szCs w:val="24"/>
        </w:rPr>
        <w:t>A continuación, se presenta el avance por componentes de la rendición de cuentas:</w:t>
      </w:r>
    </w:p>
    <w:p w14:paraId="14D09305" w14:textId="77777777" w:rsidR="00275B05" w:rsidRPr="00F1098A" w:rsidRDefault="00275B05" w:rsidP="00275B05">
      <w:pPr>
        <w:jc w:val="both"/>
        <w:rPr>
          <w:rFonts w:cstheme="minorHAnsi"/>
          <w:i/>
          <w:sz w:val="24"/>
          <w:szCs w:val="24"/>
        </w:rPr>
      </w:pPr>
      <w:r w:rsidRPr="00F1098A">
        <w:rPr>
          <w:rFonts w:cstheme="minorHAnsi"/>
          <w:i/>
          <w:sz w:val="24"/>
          <w:szCs w:val="24"/>
        </w:rPr>
        <w:t>a. Aprestamiento institucional para promover la Rendición de Cuentas: 100%</w:t>
      </w:r>
    </w:p>
    <w:p w14:paraId="20A4EEF9" w14:textId="77777777" w:rsidR="00275B05" w:rsidRPr="00F1098A" w:rsidRDefault="00275B05" w:rsidP="00275B05">
      <w:pPr>
        <w:jc w:val="both"/>
        <w:rPr>
          <w:rFonts w:cstheme="minorHAnsi"/>
          <w:i/>
          <w:sz w:val="24"/>
          <w:szCs w:val="24"/>
        </w:rPr>
      </w:pPr>
      <w:r w:rsidRPr="00F1098A">
        <w:rPr>
          <w:rFonts w:cstheme="minorHAnsi"/>
          <w:i/>
          <w:sz w:val="24"/>
          <w:szCs w:val="24"/>
        </w:rPr>
        <w:t>b. Diseño de la Estrategia de Rendición de Cuentas: 100%</w:t>
      </w:r>
    </w:p>
    <w:p w14:paraId="72709D39" w14:textId="77777777" w:rsidR="00275B05" w:rsidRPr="00F1098A" w:rsidRDefault="00275B05" w:rsidP="00275B05">
      <w:pPr>
        <w:jc w:val="both"/>
        <w:rPr>
          <w:rFonts w:cstheme="minorHAnsi"/>
          <w:i/>
          <w:sz w:val="24"/>
          <w:szCs w:val="24"/>
        </w:rPr>
      </w:pPr>
      <w:r w:rsidRPr="00F1098A">
        <w:rPr>
          <w:rFonts w:cstheme="minorHAnsi"/>
          <w:i/>
          <w:sz w:val="24"/>
          <w:szCs w:val="24"/>
        </w:rPr>
        <w:t>c. Preparación para la Rendición de Cuenta: 100%</w:t>
      </w:r>
    </w:p>
    <w:p w14:paraId="654C7A95" w14:textId="77777777" w:rsidR="00275B05" w:rsidRPr="00F1098A" w:rsidRDefault="00275B05" w:rsidP="00275B05">
      <w:pPr>
        <w:jc w:val="both"/>
        <w:rPr>
          <w:rFonts w:cstheme="minorHAnsi"/>
          <w:i/>
          <w:sz w:val="24"/>
          <w:szCs w:val="24"/>
        </w:rPr>
      </w:pPr>
      <w:r w:rsidRPr="00F1098A">
        <w:rPr>
          <w:rFonts w:cstheme="minorHAnsi"/>
          <w:i/>
          <w:sz w:val="24"/>
          <w:szCs w:val="24"/>
        </w:rPr>
        <w:t>e. Ejecución de la Estrategia de Rendición de Cuentas: 100%</w:t>
      </w:r>
    </w:p>
    <w:p w14:paraId="42078F1B" w14:textId="77777777" w:rsidR="00275B05" w:rsidRPr="00F1098A" w:rsidRDefault="00275B05" w:rsidP="00275B05">
      <w:pPr>
        <w:jc w:val="both"/>
        <w:rPr>
          <w:rFonts w:cstheme="minorHAnsi"/>
          <w:i/>
          <w:sz w:val="24"/>
          <w:szCs w:val="24"/>
        </w:rPr>
      </w:pPr>
      <w:r w:rsidRPr="00F1098A">
        <w:rPr>
          <w:rFonts w:cstheme="minorHAnsi"/>
          <w:i/>
          <w:sz w:val="24"/>
          <w:szCs w:val="24"/>
        </w:rPr>
        <w:t>f. Seguimiento y evaluación de la implementación de la Estrategia de Rendición de Cuentas: 100%.</w:t>
      </w:r>
    </w:p>
    <w:p w14:paraId="3709C4A5" w14:textId="77777777" w:rsidR="00275B05" w:rsidRPr="00F1098A" w:rsidRDefault="00275B05" w:rsidP="00275B05">
      <w:pPr>
        <w:jc w:val="both"/>
        <w:rPr>
          <w:rFonts w:cstheme="minorHAnsi"/>
          <w:sz w:val="24"/>
          <w:szCs w:val="24"/>
        </w:rPr>
      </w:pPr>
      <w:r w:rsidRPr="00F1098A">
        <w:rPr>
          <w:rFonts w:cstheme="minorHAnsi"/>
          <w:sz w:val="24"/>
          <w:szCs w:val="24"/>
        </w:rPr>
        <w:t>Lo anterior se debe a las siguientes mejoras durante el proceso:</w:t>
      </w:r>
    </w:p>
    <w:p w14:paraId="0CC9AC83" w14:textId="77777777" w:rsidR="00275B05" w:rsidRPr="00F1098A" w:rsidRDefault="00275B05" w:rsidP="00275B05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F1098A">
        <w:rPr>
          <w:rFonts w:cstheme="minorHAnsi"/>
          <w:sz w:val="24"/>
          <w:szCs w:val="24"/>
        </w:rPr>
        <w:t>Formulación de la estrategia de rendición de cuentas 2019</w:t>
      </w:r>
    </w:p>
    <w:p w14:paraId="2FEBC467" w14:textId="77777777" w:rsidR="00275B05" w:rsidRPr="00F1098A" w:rsidRDefault="00275B05" w:rsidP="00275B05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F1098A">
        <w:rPr>
          <w:rFonts w:cstheme="minorHAnsi"/>
          <w:sz w:val="24"/>
          <w:szCs w:val="24"/>
        </w:rPr>
        <w:t>Creación del equipo de rendición de cuentas de la Unidad</w:t>
      </w:r>
    </w:p>
    <w:p w14:paraId="02DA80B5" w14:textId="77777777" w:rsidR="00275B05" w:rsidRPr="00F1098A" w:rsidRDefault="00275B05" w:rsidP="00275B05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F1098A">
        <w:rPr>
          <w:rFonts w:cstheme="minorHAnsi"/>
          <w:sz w:val="24"/>
          <w:szCs w:val="24"/>
        </w:rPr>
        <w:t xml:space="preserve">Articulación de los ejercicios de participación ciudadana sectorial </w:t>
      </w:r>
    </w:p>
    <w:p w14:paraId="138858B4" w14:textId="77777777" w:rsidR="00275B05" w:rsidRPr="00F1098A" w:rsidRDefault="00275B05" w:rsidP="00275B05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F1098A">
        <w:rPr>
          <w:rFonts w:cstheme="minorHAnsi"/>
          <w:sz w:val="24"/>
          <w:szCs w:val="24"/>
        </w:rPr>
        <w:t>Ejercicios de rendición de cuentas a través de medios electrónicos</w:t>
      </w:r>
    </w:p>
    <w:p w14:paraId="354A3864" w14:textId="77777777" w:rsidR="00BA3778" w:rsidRDefault="00275B05" w:rsidP="00BA3778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F1098A">
        <w:rPr>
          <w:rFonts w:cstheme="minorHAnsi"/>
          <w:sz w:val="24"/>
          <w:szCs w:val="24"/>
        </w:rPr>
        <w:t>Ejercicio de rendición de cuentas del cierre de la administración distrital</w:t>
      </w:r>
    </w:p>
    <w:p w14:paraId="01557081" w14:textId="399CA4D4" w:rsidR="00BA3778" w:rsidRPr="00BA3778" w:rsidRDefault="00BA3778" w:rsidP="00BA37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Recomendaciones:</w:t>
      </w:r>
    </w:p>
    <w:p w14:paraId="29842A6A" w14:textId="5D374825" w:rsidR="00BA3778" w:rsidRPr="00BA3778" w:rsidRDefault="00BA3778" w:rsidP="00BA3778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</w:t>
      </w:r>
      <w:r w:rsidRPr="00BA3778">
        <w:rPr>
          <w:rFonts w:cstheme="minorHAnsi"/>
          <w:sz w:val="24"/>
          <w:szCs w:val="24"/>
        </w:rPr>
        <w:t xml:space="preserve">ener identificados los riesgos que pueden afectar el proceso de rendición de cuentas, tales como, eventos de orden público, cambios climáticos, etc. </w:t>
      </w:r>
    </w:p>
    <w:p w14:paraId="4E5BEA91" w14:textId="3FC9D065" w:rsidR="00BA3778" w:rsidRPr="0067401F" w:rsidRDefault="00BA3778" w:rsidP="00BA3778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Identificar</w:t>
      </w:r>
      <w:r w:rsidRPr="0067401F">
        <w:rPr>
          <w:rFonts w:cstheme="minorHAnsi"/>
          <w:sz w:val="24"/>
          <w:szCs w:val="24"/>
        </w:rPr>
        <w:t xml:space="preserve"> más espacios que permitan a la ciudadanía un diálogo más cercano.</w:t>
      </w:r>
    </w:p>
    <w:p w14:paraId="37429026" w14:textId="77777777" w:rsidR="00BA3778" w:rsidRPr="0067401F" w:rsidRDefault="00BA3778" w:rsidP="00BA3778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67401F">
        <w:rPr>
          <w:rFonts w:cstheme="minorHAnsi"/>
          <w:sz w:val="24"/>
          <w:szCs w:val="24"/>
        </w:rPr>
        <w:t>Invitar a población con discapacidad</w:t>
      </w:r>
    </w:p>
    <w:p w14:paraId="4824960D" w14:textId="77777777" w:rsidR="00BA3778" w:rsidRPr="00BA3778" w:rsidRDefault="00BA3778" w:rsidP="00BA3778">
      <w:pPr>
        <w:jc w:val="both"/>
        <w:rPr>
          <w:rFonts w:cstheme="minorHAnsi"/>
          <w:sz w:val="24"/>
          <w:szCs w:val="24"/>
        </w:rPr>
      </w:pPr>
    </w:p>
    <w:p w14:paraId="0AB34AEE" w14:textId="61328287" w:rsidR="00275B05" w:rsidRPr="00F1098A" w:rsidRDefault="00893E3E" w:rsidP="00275B05">
      <w:pPr>
        <w:pStyle w:val="Ttulo1"/>
        <w:numPr>
          <w:ilvl w:val="0"/>
          <w:numId w:val="8"/>
        </w:numPr>
        <w:ind w:left="426" w:hanging="426"/>
        <w:rPr>
          <w:rFonts w:asciiTheme="minorHAnsi" w:eastAsiaTheme="minorHAnsi" w:hAnsiTheme="minorHAnsi" w:cstheme="minorHAnsi"/>
          <w:b/>
          <w:color w:val="00B050"/>
          <w:sz w:val="24"/>
          <w:szCs w:val="24"/>
        </w:rPr>
      </w:pPr>
      <w:bookmarkStart w:id="3" w:name="_Toc33775750"/>
      <w:r>
        <w:rPr>
          <w:rFonts w:asciiTheme="minorHAnsi" w:eastAsiaTheme="minorHAnsi" w:hAnsiTheme="minorHAnsi" w:cstheme="minorHAnsi"/>
          <w:b/>
          <w:color w:val="00B050"/>
          <w:sz w:val="24"/>
          <w:szCs w:val="24"/>
        </w:rPr>
        <w:t>Objetivo General</w:t>
      </w:r>
      <w:bookmarkEnd w:id="3"/>
    </w:p>
    <w:p w14:paraId="1B4E451C" w14:textId="77777777" w:rsidR="00275B05" w:rsidRPr="007E4229" w:rsidRDefault="00275B05" w:rsidP="00275B05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val="es-MX" w:eastAsia="es-CO"/>
        </w:rPr>
      </w:pPr>
    </w:p>
    <w:p w14:paraId="42D802B9" w14:textId="58791893" w:rsidR="00893E3E" w:rsidRDefault="00893E3E" w:rsidP="00893E3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FD0C29">
        <w:rPr>
          <w:rFonts w:cstheme="minorHAnsi"/>
          <w:sz w:val="24"/>
          <w:szCs w:val="24"/>
        </w:rPr>
        <w:t>romover una gestión transparente y efectiva que contemple la rendición de cuentas basado en enfoque de derechos humanos y paz de la entidad, como una oportunidad para para fortalecer los mecanismos de participación en función de la corresponsabilidad, la transparencia y la integridad de la gestión pública</w:t>
      </w:r>
    </w:p>
    <w:p w14:paraId="6438DBC8" w14:textId="13F210B6" w:rsidR="00C34170" w:rsidRPr="00C34170" w:rsidRDefault="00C34170" w:rsidP="00C34170">
      <w:pPr>
        <w:pStyle w:val="Ttulo2"/>
        <w:rPr>
          <w:b/>
          <w:bCs/>
          <w:color w:val="00B050"/>
          <w:sz w:val="24"/>
          <w:szCs w:val="24"/>
        </w:rPr>
      </w:pPr>
      <w:bookmarkStart w:id="4" w:name="_Toc33775751"/>
      <w:r w:rsidRPr="00C34170">
        <w:rPr>
          <w:b/>
          <w:bCs/>
          <w:color w:val="00B050"/>
          <w:sz w:val="24"/>
          <w:szCs w:val="24"/>
        </w:rPr>
        <w:t>3.1 Objetivos específicos</w:t>
      </w:r>
      <w:bookmarkEnd w:id="4"/>
    </w:p>
    <w:p w14:paraId="65E20326" w14:textId="77777777" w:rsidR="00C34170" w:rsidRDefault="00C34170" w:rsidP="00C34170">
      <w:pPr>
        <w:pStyle w:val="Prrafodelista"/>
        <w:ind w:left="426"/>
        <w:jc w:val="both"/>
        <w:rPr>
          <w:rFonts w:cstheme="minorHAnsi"/>
          <w:sz w:val="24"/>
          <w:szCs w:val="24"/>
        </w:rPr>
      </w:pPr>
    </w:p>
    <w:p w14:paraId="71E76119" w14:textId="7DBB1B5F" w:rsidR="00C34170" w:rsidRPr="00FD0C29" w:rsidRDefault="00C34170" w:rsidP="00C34170">
      <w:pPr>
        <w:pStyle w:val="Prrafodelista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FD0C29">
        <w:rPr>
          <w:rFonts w:cstheme="minorHAnsi"/>
          <w:sz w:val="24"/>
          <w:szCs w:val="24"/>
        </w:rPr>
        <w:t xml:space="preserve">Realizar espacios de diálogo </w:t>
      </w:r>
      <w:r w:rsidR="0019060A">
        <w:rPr>
          <w:rFonts w:cstheme="minorHAnsi"/>
          <w:sz w:val="24"/>
          <w:szCs w:val="24"/>
        </w:rPr>
        <w:t>a través de canales virtuales</w:t>
      </w:r>
    </w:p>
    <w:p w14:paraId="5484E668" w14:textId="1B268EA5" w:rsidR="00C34170" w:rsidRDefault="0019060A" w:rsidP="00C34170">
      <w:pPr>
        <w:pStyle w:val="Prrafodelista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Identificar necesidades de información para los espacios de rendición de cuentas</w:t>
      </w:r>
    </w:p>
    <w:p w14:paraId="3FA99EFD" w14:textId="1E742DC9" w:rsidR="00C34170" w:rsidRPr="003A722F" w:rsidRDefault="003A722F" w:rsidP="00CF3A43">
      <w:pPr>
        <w:pStyle w:val="Prrafodelista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Identificar acciones </w:t>
      </w:r>
      <w:r w:rsidR="00C34170" w:rsidRPr="003A722F">
        <w:rPr>
          <w:rFonts w:cstheme="minorHAnsi"/>
          <w:sz w:val="24"/>
          <w:szCs w:val="24"/>
        </w:rPr>
        <w:t>de mejora en los espacios de diálogo.</w:t>
      </w:r>
    </w:p>
    <w:p w14:paraId="69451FB5" w14:textId="77777777" w:rsidR="00C34170" w:rsidRPr="007A26EB" w:rsidRDefault="00C34170" w:rsidP="00C34170">
      <w:pPr>
        <w:pStyle w:val="Prrafodelista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7A26EB">
        <w:rPr>
          <w:rFonts w:cstheme="minorHAnsi"/>
          <w:sz w:val="24"/>
          <w:szCs w:val="24"/>
        </w:rPr>
        <w:t>Evaluar los resultados de la implementación de la estrategia de rendición de cuentas</w:t>
      </w:r>
      <w:r>
        <w:rPr>
          <w:rFonts w:cstheme="minorHAnsi"/>
          <w:sz w:val="24"/>
          <w:szCs w:val="24"/>
        </w:rPr>
        <w:t>.</w:t>
      </w:r>
    </w:p>
    <w:p w14:paraId="1BDE4DC1" w14:textId="450A6CA0" w:rsidR="00C34170" w:rsidRDefault="00C34170" w:rsidP="00C34170">
      <w:pPr>
        <w:pStyle w:val="Prrafodelista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7A26EB">
        <w:rPr>
          <w:rFonts w:cstheme="minorHAnsi"/>
          <w:sz w:val="24"/>
          <w:szCs w:val="24"/>
        </w:rPr>
        <w:t>Documentar las buenas prácticas identificadas en materia de rendición de cuentas</w:t>
      </w:r>
      <w:r>
        <w:rPr>
          <w:rFonts w:cstheme="minorHAnsi"/>
          <w:sz w:val="24"/>
          <w:szCs w:val="24"/>
        </w:rPr>
        <w:t>.</w:t>
      </w:r>
    </w:p>
    <w:p w14:paraId="3BF60613" w14:textId="57647909" w:rsidR="006869BA" w:rsidRDefault="006869BA" w:rsidP="006869BA">
      <w:pPr>
        <w:jc w:val="both"/>
        <w:rPr>
          <w:rFonts w:cstheme="minorHAnsi"/>
          <w:sz w:val="24"/>
          <w:szCs w:val="24"/>
        </w:rPr>
      </w:pPr>
    </w:p>
    <w:p w14:paraId="4484361F" w14:textId="5638E740" w:rsidR="006869BA" w:rsidRPr="006869BA" w:rsidRDefault="006869BA" w:rsidP="006869BA">
      <w:pPr>
        <w:pStyle w:val="Ttulo1"/>
        <w:numPr>
          <w:ilvl w:val="0"/>
          <w:numId w:val="8"/>
        </w:numPr>
        <w:ind w:left="426" w:hanging="426"/>
        <w:rPr>
          <w:rFonts w:asciiTheme="minorHAnsi" w:eastAsiaTheme="minorHAnsi" w:hAnsiTheme="minorHAnsi" w:cstheme="minorHAnsi"/>
          <w:b/>
          <w:color w:val="00B050"/>
          <w:sz w:val="24"/>
          <w:szCs w:val="24"/>
        </w:rPr>
      </w:pPr>
      <w:bookmarkStart w:id="5" w:name="_Toc33775752"/>
      <w:r w:rsidRPr="006869BA">
        <w:rPr>
          <w:rFonts w:asciiTheme="minorHAnsi" w:eastAsiaTheme="minorHAnsi" w:hAnsiTheme="minorHAnsi" w:cstheme="minorHAnsi"/>
          <w:b/>
          <w:color w:val="00B050"/>
          <w:sz w:val="24"/>
          <w:szCs w:val="24"/>
        </w:rPr>
        <w:t>Alcance</w:t>
      </w:r>
      <w:bookmarkEnd w:id="5"/>
    </w:p>
    <w:p w14:paraId="273BB974" w14:textId="61D6113B" w:rsidR="006869BA" w:rsidRPr="00FD0C29" w:rsidRDefault="006869BA" w:rsidP="006869B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Mantener </w:t>
      </w:r>
      <w:r w:rsidRPr="00FD0C29">
        <w:rPr>
          <w:rFonts w:cstheme="minorHAnsi"/>
          <w:sz w:val="24"/>
          <w:szCs w:val="24"/>
        </w:rPr>
        <w:t xml:space="preserve">el nivel de </w:t>
      </w:r>
      <w:r>
        <w:rPr>
          <w:rFonts w:cstheme="minorHAnsi"/>
          <w:sz w:val="24"/>
          <w:szCs w:val="24"/>
        </w:rPr>
        <w:t>perfeccionamiento</w:t>
      </w:r>
      <w:r w:rsidRPr="00FD0C29">
        <w:rPr>
          <w:rStyle w:val="Refdenotaalpie"/>
          <w:rFonts w:cstheme="minorHAnsi"/>
          <w:sz w:val="24"/>
          <w:szCs w:val="24"/>
        </w:rPr>
        <w:footnoteReference w:id="2"/>
      </w:r>
      <w:r w:rsidRPr="00FD0C29">
        <w:rPr>
          <w:rFonts w:cstheme="minorHAnsi"/>
          <w:sz w:val="24"/>
          <w:szCs w:val="24"/>
        </w:rPr>
        <w:t xml:space="preserve"> de la estrategia de rendición de cuentas de la Unidad Administrativa Especial de Servicios Públicos - UAESP, en </w:t>
      </w:r>
      <w:r>
        <w:rPr>
          <w:rFonts w:cstheme="minorHAnsi"/>
          <w:sz w:val="24"/>
          <w:szCs w:val="24"/>
        </w:rPr>
        <w:t xml:space="preserve">cada una de </w:t>
      </w:r>
      <w:r w:rsidRPr="00FD0C29">
        <w:rPr>
          <w:rFonts w:cstheme="minorHAnsi"/>
          <w:sz w:val="24"/>
          <w:szCs w:val="24"/>
        </w:rPr>
        <w:t xml:space="preserve">las etapas de la Rendición de </w:t>
      </w:r>
      <w:r>
        <w:rPr>
          <w:rFonts w:cstheme="minorHAnsi"/>
          <w:sz w:val="24"/>
          <w:szCs w:val="24"/>
        </w:rPr>
        <w:t>cuentas.</w:t>
      </w:r>
    </w:p>
    <w:p w14:paraId="29508300" w14:textId="77777777" w:rsidR="00971257" w:rsidRPr="00F1098A" w:rsidRDefault="00971257" w:rsidP="00971257">
      <w:pPr>
        <w:jc w:val="both"/>
        <w:rPr>
          <w:rFonts w:cstheme="minorHAnsi"/>
          <w:sz w:val="24"/>
          <w:szCs w:val="24"/>
        </w:rPr>
      </w:pPr>
    </w:p>
    <w:p w14:paraId="2D94FB7F" w14:textId="77777777" w:rsidR="009F392C" w:rsidRPr="009F392C" w:rsidRDefault="009F392C" w:rsidP="009F392C">
      <w:pPr>
        <w:pStyle w:val="Ttulo1"/>
        <w:numPr>
          <w:ilvl w:val="0"/>
          <w:numId w:val="8"/>
        </w:numPr>
        <w:ind w:left="426" w:hanging="426"/>
        <w:rPr>
          <w:rFonts w:asciiTheme="minorHAnsi" w:eastAsiaTheme="minorHAnsi" w:hAnsiTheme="minorHAnsi" w:cstheme="minorHAnsi"/>
          <w:b/>
          <w:color w:val="00B050"/>
          <w:sz w:val="24"/>
          <w:szCs w:val="24"/>
        </w:rPr>
      </w:pPr>
      <w:bookmarkStart w:id="6" w:name="_Toc8454249"/>
      <w:bookmarkStart w:id="7" w:name="_Toc33775753"/>
      <w:r w:rsidRPr="009F392C">
        <w:rPr>
          <w:rFonts w:asciiTheme="minorHAnsi" w:eastAsiaTheme="minorHAnsi" w:hAnsiTheme="minorHAnsi" w:cstheme="minorHAnsi"/>
          <w:b/>
          <w:color w:val="00B050"/>
          <w:sz w:val="24"/>
          <w:szCs w:val="24"/>
        </w:rPr>
        <w:lastRenderedPageBreak/>
        <w:t>Estrategia de rendición de cuentas</w:t>
      </w:r>
      <w:bookmarkEnd w:id="6"/>
      <w:bookmarkEnd w:id="7"/>
    </w:p>
    <w:p w14:paraId="47810E0E" w14:textId="7E8D7886" w:rsidR="009F392C" w:rsidRDefault="009F392C" w:rsidP="009F39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Unidad Administrativa Especial de Servicios Públicos – UAESP, presenta su estrategia de rendición de </w:t>
      </w:r>
      <w:r w:rsidRPr="00111F65">
        <w:rPr>
          <w:rFonts w:asciiTheme="minorHAnsi" w:hAnsiTheme="minorHAnsi" w:cstheme="minorHAnsi"/>
        </w:rPr>
        <w:t xml:space="preserve">cuentas para la vigencia </w:t>
      </w:r>
      <w:r w:rsidRPr="00FD0C29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20 a partir de</w:t>
      </w:r>
      <w:r w:rsidRPr="00FD0C29">
        <w:rPr>
          <w:rFonts w:asciiTheme="minorHAnsi" w:hAnsiTheme="minorHAnsi" w:cstheme="minorHAnsi"/>
        </w:rPr>
        <w:t xml:space="preserve"> cuatro (4) componentes, </w:t>
      </w:r>
      <w:r>
        <w:rPr>
          <w:rFonts w:asciiTheme="minorHAnsi" w:hAnsiTheme="minorHAnsi" w:cstheme="minorHAnsi"/>
        </w:rPr>
        <w:t>que a continuación se presentan:</w:t>
      </w:r>
    </w:p>
    <w:p w14:paraId="1455998E" w14:textId="77777777" w:rsidR="009F392C" w:rsidRPr="007C4FDC" w:rsidRDefault="009F392C" w:rsidP="009F39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</w:rPr>
      </w:pPr>
    </w:p>
    <w:p w14:paraId="10BE64EE" w14:textId="59A5CB15" w:rsidR="00275B05" w:rsidRPr="00550CF4" w:rsidRDefault="00C138BD" w:rsidP="00B60BB3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s-CO"/>
        </w:rPr>
      </w:pPr>
      <w:r w:rsidRPr="00C138BD">
        <w:drawing>
          <wp:inline distT="0" distB="0" distL="0" distR="0" wp14:anchorId="01AD18F4" wp14:editId="1A8CCA92">
            <wp:extent cx="8210550" cy="4202821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762" cy="42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B05" w:rsidRPr="00550CF4" w:rsidSect="00C138BD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1F5E6" w14:textId="77777777" w:rsidR="00E6199E" w:rsidRDefault="00E6199E" w:rsidP="00691BE8">
      <w:pPr>
        <w:spacing w:after="0" w:line="240" w:lineRule="auto"/>
      </w:pPr>
      <w:r>
        <w:separator/>
      </w:r>
    </w:p>
  </w:endnote>
  <w:endnote w:type="continuationSeparator" w:id="0">
    <w:p w14:paraId="167DD215" w14:textId="77777777" w:rsidR="00E6199E" w:rsidRDefault="00E6199E" w:rsidP="0069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16617" w14:textId="7355D88B" w:rsidR="00691BE8" w:rsidRDefault="00C138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9160D" wp14:editId="5011CDEC">
              <wp:simplePos x="0" y="0"/>
              <wp:positionH relativeFrom="column">
                <wp:posOffset>2220595</wp:posOffset>
              </wp:positionH>
              <wp:positionV relativeFrom="paragraph">
                <wp:posOffset>248920</wp:posOffset>
              </wp:positionV>
              <wp:extent cx="1878037" cy="510100"/>
              <wp:effectExtent l="0" t="0" r="8255" b="444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037" cy="51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F57617" w14:textId="77777777" w:rsidR="00691BE8" w:rsidRPr="001E57B3" w:rsidRDefault="00691BE8" w:rsidP="00691BE8">
                          <w:pPr>
                            <w:pStyle w:val="Piedepgina"/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 w:rsidRPr="001E57B3">
                            <w:rPr>
                              <w:rFonts w:asciiTheme="majorHAnsi" w:hAnsiTheme="majorHAnsi" w:cstheme="majorHAnsi"/>
                              <w:sz w:val="20"/>
                              <w:lang w:val="es-ES"/>
                            </w:rPr>
                            <w:t xml:space="preserve">Página </w:t>
                          </w:r>
                          <w:r w:rsidRPr="001E57B3">
                            <w:rPr>
                              <w:rFonts w:asciiTheme="majorHAnsi" w:hAnsiTheme="majorHAnsi" w:cstheme="majorHAnsi"/>
                              <w:sz w:val="20"/>
                            </w:rPr>
                            <w:fldChar w:fldCharType="begin"/>
                          </w:r>
                          <w:r w:rsidRPr="001E57B3">
                            <w:rPr>
                              <w:rFonts w:asciiTheme="majorHAnsi" w:hAnsiTheme="majorHAnsi" w:cstheme="majorHAnsi"/>
                              <w:sz w:val="20"/>
                            </w:rPr>
                            <w:instrText>PAGE  \* Arabic  \* MERGEFORMAT</w:instrText>
                          </w:r>
                          <w:r w:rsidRPr="001E57B3">
                            <w:rPr>
                              <w:rFonts w:asciiTheme="majorHAnsi" w:hAnsiTheme="majorHAnsi" w:cstheme="majorHAnsi"/>
                              <w:sz w:val="20"/>
                            </w:rPr>
                            <w:fldChar w:fldCharType="separate"/>
                          </w:r>
                          <w:r w:rsidRPr="001E57B3">
                            <w:rPr>
                              <w:rFonts w:asciiTheme="majorHAnsi" w:hAnsiTheme="majorHAnsi" w:cstheme="majorHAnsi"/>
                              <w:sz w:val="20"/>
                            </w:rPr>
                            <w:t>1</w:t>
                          </w:r>
                          <w:r w:rsidRPr="001E57B3">
                            <w:rPr>
                              <w:rFonts w:asciiTheme="majorHAnsi" w:hAnsiTheme="majorHAnsi" w:cstheme="majorHAnsi"/>
                              <w:sz w:val="20"/>
                            </w:rPr>
                            <w:fldChar w:fldCharType="end"/>
                          </w:r>
                          <w:r w:rsidRPr="001E57B3">
                            <w:rPr>
                              <w:rFonts w:asciiTheme="majorHAnsi" w:hAnsiTheme="majorHAnsi" w:cstheme="majorHAnsi"/>
                              <w:sz w:val="20"/>
                              <w:lang w:val="es-ES"/>
                            </w:rPr>
                            <w:t xml:space="preserve"> de </w:t>
                          </w:r>
                          <w:r w:rsidRPr="001E57B3">
                            <w:rPr>
                              <w:rFonts w:asciiTheme="majorHAnsi" w:hAnsiTheme="majorHAnsi" w:cstheme="majorHAnsi"/>
                              <w:sz w:val="20"/>
                            </w:rPr>
                            <w:fldChar w:fldCharType="begin"/>
                          </w:r>
                          <w:r w:rsidRPr="001E57B3">
                            <w:rPr>
                              <w:rFonts w:asciiTheme="majorHAnsi" w:hAnsiTheme="majorHAnsi" w:cstheme="majorHAnsi"/>
                              <w:sz w:val="20"/>
                            </w:rPr>
                            <w:instrText>NUMPAGES  \* Arabic  \* MERGEFORMAT</w:instrText>
                          </w:r>
                          <w:r w:rsidRPr="001E57B3">
                            <w:rPr>
                              <w:rFonts w:asciiTheme="majorHAnsi" w:hAnsiTheme="majorHAnsi" w:cstheme="majorHAnsi"/>
                              <w:sz w:val="20"/>
                            </w:rPr>
                            <w:fldChar w:fldCharType="separate"/>
                          </w:r>
                          <w:r w:rsidRPr="001E57B3">
                            <w:rPr>
                              <w:rFonts w:asciiTheme="majorHAnsi" w:hAnsiTheme="majorHAnsi" w:cstheme="majorHAnsi"/>
                              <w:sz w:val="20"/>
                            </w:rPr>
                            <w:t>2</w:t>
                          </w:r>
                          <w:r w:rsidRPr="001E57B3">
                            <w:rPr>
                              <w:rFonts w:asciiTheme="majorHAnsi" w:hAnsiTheme="majorHAnsi" w:cstheme="majorHAnsi"/>
                              <w:sz w:val="20"/>
                            </w:rPr>
                            <w:fldChar w:fldCharType="end"/>
                          </w:r>
                        </w:p>
                        <w:p w14:paraId="71C02C97" w14:textId="77777777" w:rsidR="00691BE8" w:rsidRDefault="00691B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9160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74.85pt;margin-top:19.6pt;width:147.9pt;height:4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" fillcolor="white [3201]" stroked="f" strokeweight=".5pt">
              <v:textbox>
                <w:txbxContent>
                  <w:p w14:paraId="66F57617" w14:textId="77777777" w:rsidR="00691BE8" w:rsidRPr="001E57B3" w:rsidRDefault="00691BE8" w:rsidP="00691BE8">
                    <w:pPr>
                      <w:pStyle w:val="Piedepgina"/>
                      <w:jc w:val="center"/>
                      <w:rPr>
                        <w:rFonts w:asciiTheme="majorHAnsi" w:hAnsiTheme="majorHAnsi" w:cstheme="majorHAnsi"/>
                        <w:sz w:val="20"/>
                      </w:rPr>
                    </w:pPr>
                    <w:r w:rsidRPr="001E57B3">
                      <w:rPr>
                        <w:rFonts w:asciiTheme="majorHAnsi" w:hAnsiTheme="majorHAnsi" w:cstheme="majorHAnsi"/>
                        <w:sz w:val="20"/>
                        <w:lang w:val="es-ES"/>
                      </w:rPr>
                      <w:t xml:space="preserve">Página </w:t>
                    </w:r>
                    <w:r w:rsidRPr="001E57B3">
                      <w:rPr>
                        <w:rFonts w:asciiTheme="majorHAnsi" w:hAnsiTheme="majorHAnsi" w:cstheme="majorHAnsi"/>
                        <w:sz w:val="20"/>
                      </w:rPr>
                      <w:fldChar w:fldCharType="begin"/>
                    </w:r>
                    <w:r w:rsidRPr="001E57B3">
                      <w:rPr>
                        <w:rFonts w:asciiTheme="majorHAnsi" w:hAnsiTheme="majorHAnsi" w:cstheme="majorHAnsi"/>
                        <w:sz w:val="20"/>
                      </w:rPr>
                      <w:instrText>PAGE  \* Arabic  \* MERGEFORMAT</w:instrText>
                    </w:r>
                    <w:r w:rsidRPr="001E57B3">
                      <w:rPr>
                        <w:rFonts w:asciiTheme="majorHAnsi" w:hAnsiTheme="majorHAnsi" w:cstheme="majorHAnsi"/>
                        <w:sz w:val="20"/>
                      </w:rPr>
                      <w:fldChar w:fldCharType="separate"/>
                    </w:r>
                    <w:r w:rsidRPr="001E57B3">
                      <w:rPr>
                        <w:rFonts w:asciiTheme="majorHAnsi" w:hAnsiTheme="majorHAnsi" w:cstheme="majorHAnsi"/>
                        <w:sz w:val="20"/>
                      </w:rPr>
                      <w:t>1</w:t>
                    </w:r>
                    <w:r w:rsidRPr="001E57B3">
                      <w:rPr>
                        <w:rFonts w:asciiTheme="majorHAnsi" w:hAnsiTheme="majorHAnsi" w:cstheme="majorHAnsi"/>
                        <w:sz w:val="20"/>
                      </w:rPr>
                      <w:fldChar w:fldCharType="end"/>
                    </w:r>
                    <w:r w:rsidRPr="001E57B3">
                      <w:rPr>
                        <w:rFonts w:asciiTheme="majorHAnsi" w:hAnsiTheme="majorHAnsi" w:cstheme="majorHAnsi"/>
                        <w:sz w:val="20"/>
                        <w:lang w:val="es-ES"/>
                      </w:rPr>
                      <w:t xml:space="preserve"> de </w:t>
                    </w:r>
                    <w:r w:rsidRPr="001E57B3">
                      <w:rPr>
                        <w:rFonts w:asciiTheme="majorHAnsi" w:hAnsiTheme="majorHAnsi" w:cstheme="majorHAnsi"/>
                        <w:sz w:val="20"/>
                      </w:rPr>
                      <w:fldChar w:fldCharType="begin"/>
                    </w:r>
                    <w:r w:rsidRPr="001E57B3">
                      <w:rPr>
                        <w:rFonts w:asciiTheme="majorHAnsi" w:hAnsiTheme="majorHAnsi" w:cstheme="majorHAnsi"/>
                        <w:sz w:val="20"/>
                      </w:rPr>
                      <w:instrText>NUMPAGES  \* Arabic  \* MERGEFORMAT</w:instrText>
                    </w:r>
                    <w:r w:rsidRPr="001E57B3">
                      <w:rPr>
                        <w:rFonts w:asciiTheme="majorHAnsi" w:hAnsiTheme="majorHAnsi" w:cstheme="majorHAnsi"/>
                        <w:sz w:val="20"/>
                      </w:rPr>
                      <w:fldChar w:fldCharType="separate"/>
                    </w:r>
                    <w:r w:rsidRPr="001E57B3">
                      <w:rPr>
                        <w:rFonts w:asciiTheme="majorHAnsi" w:hAnsiTheme="majorHAnsi" w:cstheme="majorHAnsi"/>
                        <w:sz w:val="20"/>
                      </w:rPr>
                      <w:t>2</w:t>
                    </w:r>
                    <w:r w:rsidRPr="001E57B3">
                      <w:rPr>
                        <w:rFonts w:asciiTheme="majorHAnsi" w:hAnsiTheme="majorHAnsi" w:cstheme="majorHAnsi"/>
                        <w:sz w:val="20"/>
                      </w:rPr>
                      <w:fldChar w:fldCharType="end"/>
                    </w:r>
                  </w:p>
                  <w:p w14:paraId="71C02C97" w14:textId="77777777" w:rsidR="00691BE8" w:rsidRDefault="00691BE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0DB445D" wp14:editId="332E787E">
          <wp:simplePos x="0" y="0"/>
          <wp:positionH relativeFrom="column">
            <wp:posOffset>186055</wp:posOffset>
          </wp:positionH>
          <wp:positionV relativeFrom="paragraph">
            <wp:posOffset>-379730</wp:posOffset>
          </wp:positionV>
          <wp:extent cx="6724650" cy="629920"/>
          <wp:effectExtent l="0" t="0" r="0" b="0"/>
          <wp:wrapSquare wrapText="bothSides"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0" cy="629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1033A" w14:textId="77777777" w:rsidR="00E6199E" w:rsidRDefault="00E6199E" w:rsidP="00691BE8">
      <w:pPr>
        <w:spacing w:after="0" w:line="240" w:lineRule="auto"/>
      </w:pPr>
      <w:r>
        <w:separator/>
      </w:r>
    </w:p>
  </w:footnote>
  <w:footnote w:type="continuationSeparator" w:id="0">
    <w:p w14:paraId="08CC514E" w14:textId="77777777" w:rsidR="00E6199E" w:rsidRDefault="00E6199E" w:rsidP="00691BE8">
      <w:pPr>
        <w:spacing w:after="0" w:line="240" w:lineRule="auto"/>
      </w:pPr>
      <w:r>
        <w:continuationSeparator/>
      </w:r>
    </w:p>
  </w:footnote>
  <w:footnote w:id="1">
    <w:p w14:paraId="61A41624" w14:textId="14B72B8F" w:rsidR="001D076C" w:rsidRDefault="001D076C">
      <w:pPr>
        <w:pStyle w:val="Textonotapie"/>
      </w:pPr>
      <w:r>
        <w:rPr>
          <w:rStyle w:val="Refdenotaalpie"/>
        </w:rPr>
        <w:footnoteRef/>
      </w:r>
      <w:r>
        <w:t xml:space="preserve"> Tomado de Informe Ejecutivo de la Estrategia de Rendición de Cuentas 2019</w:t>
      </w:r>
    </w:p>
  </w:footnote>
  <w:footnote w:id="2">
    <w:p w14:paraId="39465987" w14:textId="77777777" w:rsidR="006869BA" w:rsidRDefault="006869BA" w:rsidP="006869BA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clasificación definida por el DAFP se especifica en tres niveles (inicial, consolidación y perfeccionamiento)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299E0" w14:textId="77777777" w:rsidR="001E24AE" w:rsidRDefault="001E24AE" w:rsidP="00C162D5">
    <w:pPr>
      <w:pStyle w:val="Encabezado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39F56DD" wp14:editId="681A2FFD">
          <wp:simplePos x="0" y="0"/>
          <wp:positionH relativeFrom="margin">
            <wp:align>center</wp:align>
          </wp:positionH>
          <wp:positionV relativeFrom="paragraph">
            <wp:posOffset>-263525</wp:posOffset>
          </wp:positionV>
          <wp:extent cx="1980000" cy="712800"/>
          <wp:effectExtent l="0" t="0" r="1270" b="0"/>
          <wp:wrapSquare wrapText="bothSides"/>
          <wp:docPr id="9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000" cy="712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F600BE" w14:textId="77777777" w:rsidR="001E24AE" w:rsidRDefault="001E24AE" w:rsidP="001E24AE">
    <w:pPr>
      <w:pStyle w:val="Encabezado"/>
    </w:pPr>
  </w:p>
  <w:p w14:paraId="5E872EBF" w14:textId="77777777" w:rsidR="002311C3" w:rsidRPr="001E24AE" w:rsidRDefault="002311C3" w:rsidP="001E24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021"/>
    <w:multiLevelType w:val="hybridMultilevel"/>
    <w:tmpl w:val="966C46E2"/>
    <w:lvl w:ilvl="0" w:tplc="02B4FF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619C"/>
    <w:multiLevelType w:val="hybridMultilevel"/>
    <w:tmpl w:val="0C963A5A"/>
    <w:lvl w:ilvl="0" w:tplc="5E1848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2CAF"/>
    <w:multiLevelType w:val="hybridMultilevel"/>
    <w:tmpl w:val="9C6C6C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679F6"/>
    <w:multiLevelType w:val="multilevel"/>
    <w:tmpl w:val="377C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B3B68"/>
    <w:multiLevelType w:val="hybridMultilevel"/>
    <w:tmpl w:val="00D2CFE4"/>
    <w:lvl w:ilvl="0" w:tplc="F5205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E3EAB"/>
    <w:multiLevelType w:val="hybridMultilevel"/>
    <w:tmpl w:val="E22EA1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566A4"/>
    <w:multiLevelType w:val="hybridMultilevel"/>
    <w:tmpl w:val="B8F4DC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67721"/>
    <w:multiLevelType w:val="hybridMultilevel"/>
    <w:tmpl w:val="FA90EEB2"/>
    <w:lvl w:ilvl="0" w:tplc="67906B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05616"/>
    <w:multiLevelType w:val="multilevel"/>
    <w:tmpl w:val="D57A3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D0C3032"/>
    <w:multiLevelType w:val="hybridMultilevel"/>
    <w:tmpl w:val="5950BF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1DD2"/>
    <w:multiLevelType w:val="multilevel"/>
    <w:tmpl w:val="817C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D86F75"/>
    <w:multiLevelType w:val="hybridMultilevel"/>
    <w:tmpl w:val="653AB7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14FB3"/>
    <w:multiLevelType w:val="hybridMultilevel"/>
    <w:tmpl w:val="1BDC21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60D20"/>
    <w:multiLevelType w:val="hybridMultilevel"/>
    <w:tmpl w:val="356866CC"/>
    <w:lvl w:ilvl="0" w:tplc="A7B07A8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86871"/>
    <w:multiLevelType w:val="hybridMultilevel"/>
    <w:tmpl w:val="06901E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72F4C"/>
    <w:multiLevelType w:val="hybridMultilevel"/>
    <w:tmpl w:val="7474F918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7207F99"/>
    <w:multiLevelType w:val="hybridMultilevel"/>
    <w:tmpl w:val="CEA2D9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715FD"/>
    <w:multiLevelType w:val="hybridMultilevel"/>
    <w:tmpl w:val="71BCD8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3D"/>
    <w:rsid w:val="00014939"/>
    <w:rsid w:val="00033772"/>
    <w:rsid w:val="00034D35"/>
    <w:rsid w:val="000374D0"/>
    <w:rsid w:val="0006662D"/>
    <w:rsid w:val="000724A9"/>
    <w:rsid w:val="0009611E"/>
    <w:rsid w:val="000C00DB"/>
    <w:rsid w:val="000C6A8D"/>
    <w:rsid w:val="000E686B"/>
    <w:rsid w:val="001015AC"/>
    <w:rsid w:val="00106509"/>
    <w:rsid w:val="00111F65"/>
    <w:rsid w:val="00115929"/>
    <w:rsid w:val="001245FE"/>
    <w:rsid w:val="00151F61"/>
    <w:rsid w:val="00152DBE"/>
    <w:rsid w:val="0019060A"/>
    <w:rsid w:val="001B1D4C"/>
    <w:rsid w:val="001C1B09"/>
    <w:rsid w:val="001C6B1A"/>
    <w:rsid w:val="001D076C"/>
    <w:rsid w:val="001E24AE"/>
    <w:rsid w:val="001E3C16"/>
    <w:rsid w:val="001E57B3"/>
    <w:rsid w:val="001F48DC"/>
    <w:rsid w:val="001F561E"/>
    <w:rsid w:val="0020116A"/>
    <w:rsid w:val="00205D87"/>
    <w:rsid w:val="002206FE"/>
    <w:rsid w:val="002252A5"/>
    <w:rsid w:val="002267A4"/>
    <w:rsid w:val="002311C3"/>
    <w:rsid w:val="00242614"/>
    <w:rsid w:val="00245C14"/>
    <w:rsid w:val="00274D8D"/>
    <w:rsid w:val="00275B05"/>
    <w:rsid w:val="00280F27"/>
    <w:rsid w:val="002813E2"/>
    <w:rsid w:val="002917FE"/>
    <w:rsid w:val="00295AC8"/>
    <w:rsid w:val="002A6FC5"/>
    <w:rsid w:val="002B4B29"/>
    <w:rsid w:val="002B51BC"/>
    <w:rsid w:val="002C178A"/>
    <w:rsid w:val="002C308E"/>
    <w:rsid w:val="002E24AD"/>
    <w:rsid w:val="002F4476"/>
    <w:rsid w:val="002F5E8F"/>
    <w:rsid w:val="00317FF8"/>
    <w:rsid w:val="00325C99"/>
    <w:rsid w:val="00353085"/>
    <w:rsid w:val="00361052"/>
    <w:rsid w:val="00373055"/>
    <w:rsid w:val="0037592A"/>
    <w:rsid w:val="00380055"/>
    <w:rsid w:val="003838C7"/>
    <w:rsid w:val="00387F64"/>
    <w:rsid w:val="00393004"/>
    <w:rsid w:val="00393188"/>
    <w:rsid w:val="00394520"/>
    <w:rsid w:val="003A0232"/>
    <w:rsid w:val="003A0F5B"/>
    <w:rsid w:val="003A722F"/>
    <w:rsid w:val="003B6751"/>
    <w:rsid w:val="003C4427"/>
    <w:rsid w:val="003D3EC5"/>
    <w:rsid w:val="003E5C11"/>
    <w:rsid w:val="003E797D"/>
    <w:rsid w:val="00421710"/>
    <w:rsid w:val="00434134"/>
    <w:rsid w:val="004410DA"/>
    <w:rsid w:val="0044726C"/>
    <w:rsid w:val="00451AF1"/>
    <w:rsid w:val="00463F0E"/>
    <w:rsid w:val="00476A02"/>
    <w:rsid w:val="00480536"/>
    <w:rsid w:val="00483EA8"/>
    <w:rsid w:val="004927AE"/>
    <w:rsid w:val="00492E92"/>
    <w:rsid w:val="004B1766"/>
    <w:rsid w:val="004B3FB7"/>
    <w:rsid w:val="004D5E0B"/>
    <w:rsid w:val="004D6A01"/>
    <w:rsid w:val="004F58A9"/>
    <w:rsid w:val="00511F51"/>
    <w:rsid w:val="00513BC9"/>
    <w:rsid w:val="00532847"/>
    <w:rsid w:val="00533750"/>
    <w:rsid w:val="005449A4"/>
    <w:rsid w:val="00546A6C"/>
    <w:rsid w:val="00550CF4"/>
    <w:rsid w:val="00552887"/>
    <w:rsid w:val="00553743"/>
    <w:rsid w:val="0055386A"/>
    <w:rsid w:val="00560A3C"/>
    <w:rsid w:val="0056166B"/>
    <w:rsid w:val="00563023"/>
    <w:rsid w:val="005645AA"/>
    <w:rsid w:val="0057685E"/>
    <w:rsid w:val="00582F20"/>
    <w:rsid w:val="00584934"/>
    <w:rsid w:val="00585688"/>
    <w:rsid w:val="005B5541"/>
    <w:rsid w:val="005C4EEF"/>
    <w:rsid w:val="005D32C1"/>
    <w:rsid w:val="005E143F"/>
    <w:rsid w:val="005E2486"/>
    <w:rsid w:val="005E2F2F"/>
    <w:rsid w:val="005F5094"/>
    <w:rsid w:val="005F5610"/>
    <w:rsid w:val="00605942"/>
    <w:rsid w:val="00611A3C"/>
    <w:rsid w:val="00613A03"/>
    <w:rsid w:val="0062124E"/>
    <w:rsid w:val="006224E0"/>
    <w:rsid w:val="00623BBD"/>
    <w:rsid w:val="006260F1"/>
    <w:rsid w:val="00633D3C"/>
    <w:rsid w:val="006419BD"/>
    <w:rsid w:val="00642FCF"/>
    <w:rsid w:val="00656C2C"/>
    <w:rsid w:val="00670CD0"/>
    <w:rsid w:val="0067401F"/>
    <w:rsid w:val="00677CD9"/>
    <w:rsid w:val="006869BA"/>
    <w:rsid w:val="00690DCD"/>
    <w:rsid w:val="00691BE8"/>
    <w:rsid w:val="006956B2"/>
    <w:rsid w:val="006A083D"/>
    <w:rsid w:val="006E0C12"/>
    <w:rsid w:val="006E15D0"/>
    <w:rsid w:val="006E4BFF"/>
    <w:rsid w:val="006F39E6"/>
    <w:rsid w:val="00701CCD"/>
    <w:rsid w:val="00710D07"/>
    <w:rsid w:val="00716904"/>
    <w:rsid w:val="00731188"/>
    <w:rsid w:val="00736AEA"/>
    <w:rsid w:val="007634B4"/>
    <w:rsid w:val="00772F54"/>
    <w:rsid w:val="00792A8C"/>
    <w:rsid w:val="007966B9"/>
    <w:rsid w:val="007A26EB"/>
    <w:rsid w:val="007B13FA"/>
    <w:rsid w:val="007C0145"/>
    <w:rsid w:val="007C4FDC"/>
    <w:rsid w:val="007D6C31"/>
    <w:rsid w:val="007E0F83"/>
    <w:rsid w:val="007E2397"/>
    <w:rsid w:val="007E4229"/>
    <w:rsid w:val="008064F2"/>
    <w:rsid w:val="008160F3"/>
    <w:rsid w:val="008231D6"/>
    <w:rsid w:val="00860EA8"/>
    <w:rsid w:val="00873632"/>
    <w:rsid w:val="00875037"/>
    <w:rsid w:val="0087743F"/>
    <w:rsid w:val="00893E3E"/>
    <w:rsid w:val="008A4250"/>
    <w:rsid w:val="008A5826"/>
    <w:rsid w:val="008B5681"/>
    <w:rsid w:val="008D1B32"/>
    <w:rsid w:val="009149C9"/>
    <w:rsid w:val="00921FB7"/>
    <w:rsid w:val="009226DF"/>
    <w:rsid w:val="00943770"/>
    <w:rsid w:val="00943CDE"/>
    <w:rsid w:val="00952B0E"/>
    <w:rsid w:val="009539DC"/>
    <w:rsid w:val="00954C78"/>
    <w:rsid w:val="009554A8"/>
    <w:rsid w:val="00963ADC"/>
    <w:rsid w:val="00966A05"/>
    <w:rsid w:val="00971257"/>
    <w:rsid w:val="00986502"/>
    <w:rsid w:val="00987714"/>
    <w:rsid w:val="0099155F"/>
    <w:rsid w:val="009A0454"/>
    <w:rsid w:val="009C4EA0"/>
    <w:rsid w:val="009C56FA"/>
    <w:rsid w:val="009C7DCA"/>
    <w:rsid w:val="009D121C"/>
    <w:rsid w:val="009D410F"/>
    <w:rsid w:val="009D4A03"/>
    <w:rsid w:val="009F2DD6"/>
    <w:rsid w:val="009F392C"/>
    <w:rsid w:val="00A0009B"/>
    <w:rsid w:val="00A3120E"/>
    <w:rsid w:val="00A41461"/>
    <w:rsid w:val="00A53DD8"/>
    <w:rsid w:val="00A5575F"/>
    <w:rsid w:val="00A609A9"/>
    <w:rsid w:val="00A62D04"/>
    <w:rsid w:val="00A91B92"/>
    <w:rsid w:val="00AA5D00"/>
    <w:rsid w:val="00AB34BD"/>
    <w:rsid w:val="00AD76BA"/>
    <w:rsid w:val="00B33454"/>
    <w:rsid w:val="00B36D4C"/>
    <w:rsid w:val="00B60BB3"/>
    <w:rsid w:val="00B628B2"/>
    <w:rsid w:val="00B81350"/>
    <w:rsid w:val="00B813E9"/>
    <w:rsid w:val="00BA3778"/>
    <w:rsid w:val="00BB37C2"/>
    <w:rsid w:val="00BD368E"/>
    <w:rsid w:val="00BE0BDE"/>
    <w:rsid w:val="00C03B60"/>
    <w:rsid w:val="00C03BC8"/>
    <w:rsid w:val="00C04DF9"/>
    <w:rsid w:val="00C138BD"/>
    <w:rsid w:val="00C162D5"/>
    <w:rsid w:val="00C20732"/>
    <w:rsid w:val="00C34170"/>
    <w:rsid w:val="00C36A7B"/>
    <w:rsid w:val="00C37019"/>
    <w:rsid w:val="00C43B9A"/>
    <w:rsid w:val="00C451FD"/>
    <w:rsid w:val="00C728FD"/>
    <w:rsid w:val="00C7721A"/>
    <w:rsid w:val="00CA12A1"/>
    <w:rsid w:val="00CB1205"/>
    <w:rsid w:val="00CB783E"/>
    <w:rsid w:val="00CE3C61"/>
    <w:rsid w:val="00CE6EB2"/>
    <w:rsid w:val="00D0037A"/>
    <w:rsid w:val="00D04479"/>
    <w:rsid w:val="00D14DC2"/>
    <w:rsid w:val="00D161F1"/>
    <w:rsid w:val="00D30D32"/>
    <w:rsid w:val="00D30D8F"/>
    <w:rsid w:val="00D31971"/>
    <w:rsid w:val="00D321C5"/>
    <w:rsid w:val="00D54E9D"/>
    <w:rsid w:val="00D57895"/>
    <w:rsid w:val="00D616B0"/>
    <w:rsid w:val="00D66EC9"/>
    <w:rsid w:val="00D6780F"/>
    <w:rsid w:val="00D70782"/>
    <w:rsid w:val="00D84900"/>
    <w:rsid w:val="00D94A16"/>
    <w:rsid w:val="00D95340"/>
    <w:rsid w:val="00DB3795"/>
    <w:rsid w:val="00DD58AB"/>
    <w:rsid w:val="00DF0A11"/>
    <w:rsid w:val="00DF4B5E"/>
    <w:rsid w:val="00DF5BEC"/>
    <w:rsid w:val="00DF5F03"/>
    <w:rsid w:val="00E00E68"/>
    <w:rsid w:val="00E0771A"/>
    <w:rsid w:val="00E119C5"/>
    <w:rsid w:val="00E14120"/>
    <w:rsid w:val="00E2023A"/>
    <w:rsid w:val="00E43235"/>
    <w:rsid w:val="00E54F13"/>
    <w:rsid w:val="00E6199E"/>
    <w:rsid w:val="00E6626C"/>
    <w:rsid w:val="00E84D78"/>
    <w:rsid w:val="00E9569D"/>
    <w:rsid w:val="00EA1790"/>
    <w:rsid w:val="00EB4A19"/>
    <w:rsid w:val="00EC2B6A"/>
    <w:rsid w:val="00EE5C47"/>
    <w:rsid w:val="00F03B26"/>
    <w:rsid w:val="00F1098A"/>
    <w:rsid w:val="00F13B97"/>
    <w:rsid w:val="00F21CAF"/>
    <w:rsid w:val="00F23DAD"/>
    <w:rsid w:val="00F264F4"/>
    <w:rsid w:val="00F34879"/>
    <w:rsid w:val="00F34E1A"/>
    <w:rsid w:val="00F55338"/>
    <w:rsid w:val="00F62F76"/>
    <w:rsid w:val="00F651C8"/>
    <w:rsid w:val="00F656D5"/>
    <w:rsid w:val="00F67F1F"/>
    <w:rsid w:val="00F7769C"/>
    <w:rsid w:val="00F83784"/>
    <w:rsid w:val="00F93225"/>
    <w:rsid w:val="00F94C44"/>
    <w:rsid w:val="00FC19C5"/>
    <w:rsid w:val="00FD1E08"/>
    <w:rsid w:val="00FE385E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B7EFB"/>
  <w15:chartTrackingRefBased/>
  <w15:docId w15:val="{1BC7AE45-DC2F-48F8-BC65-EFF87CCC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4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45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78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6A08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A083D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6A083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A08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1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BE8"/>
  </w:style>
  <w:style w:type="paragraph" w:styleId="Piedepgina">
    <w:name w:val="footer"/>
    <w:basedOn w:val="Normal"/>
    <w:link w:val="PiedepginaCar"/>
    <w:uiPriority w:val="99"/>
    <w:unhideWhenUsed/>
    <w:rsid w:val="00691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BE8"/>
  </w:style>
  <w:style w:type="character" w:customStyle="1" w:styleId="Ttulo1Car">
    <w:name w:val="Título 1 Car"/>
    <w:basedOn w:val="Fuentedeprrafopredeter"/>
    <w:link w:val="Ttulo1"/>
    <w:uiPriority w:val="9"/>
    <w:rsid w:val="001F4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F48DC"/>
    <w:pPr>
      <w:outlineLvl w:val="9"/>
    </w:pPr>
    <w:rPr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E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0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206FE"/>
    <w:rPr>
      <w:b/>
      <w:bCs/>
    </w:rPr>
  </w:style>
  <w:style w:type="paragraph" w:styleId="TDC1">
    <w:name w:val="toc 1"/>
    <w:basedOn w:val="Normal"/>
    <w:next w:val="Normal"/>
    <w:autoRedefine/>
    <w:uiPriority w:val="39"/>
    <w:unhideWhenUsed/>
    <w:rsid w:val="0009611E"/>
    <w:pPr>
      <w:spacing w:after="100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D578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178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17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C178A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5645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D30D32"/>
    <w:pPr>
      <w:spacing w:after="100"/>
      <w:ind w:left="220"/>
    </w:pPr>
  </w:style>
  <w:style w:type="character" w:styleId="Refdecomentario">
    <w:name w:val="annotation reference"/>
    <w:basedOn w:val="Fuentedeprrafopredeter"/>
    <w:uiPriority w:val="99"/>
    <w:semiHidden/>
    <w:unhideWhenUsed/>
    <w:rsid w:val="00582F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2F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2F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2F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2F20"/>
    <w:rPr>
      <w:b/>
      <w:bCs/>
      <w:sz w:val="20"/>
      <w:szCs w:val="20"/>
    </w:rPr>
  </w:style>
  <w:style w:type="paragraph" w:customStyle="1" w:styleId="Default">
    <w:name w:val="Default"/>
    <w:rsid w:val="00205D8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14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99383-489E-4E74-A1A2-4643B11B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Santiago Delvasto</dc:creator>
  <cp:keywords/>
  <dc:description/>
  <cp:lastModifiedBy>Luisa Fernanda Santiago Delvasto</cp:lastModifiedBy>
  <cp:revision>11</cp:revision>
  <dcterms:created xsi:type="dcterms:W3CDTF">2020-02-28T13:57:00Z</dcterms:created>
  <dcterms:modified xsi:type="dcterms:W3CDTF">2020-02-28T14:56:00Z</dcterms:modified>
</cp:coreProperties>
</file>