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64DF" w14:textId="77777777" w:rsidR="001F45F2" w:rsidRPr="00E8057F" w:rsidRDefault="001F45F2" w:rsidP="001F45F2">
      <w:pPr>
        <w:jc w:val="center"/>
        <w:rPr>
          <w:rFonts w:cs="Calibri"/>
          <w:b/>
          <w:color w:val="4472C4"/>
          <w:lang w:val="es-MX"/>
        </w:rPr>
      </w:pPr>
    </w:p>
    <w:p w14:paraId="1B5A9110" w14:textId="77777777" w:rsidR="001F45F2" w:rsidRPr="00E8057F" w:rsidRDefault="001F45F2" w:rsidP="001F45F2">
      <w:pPr>
        <w:jc w:val="center"/>
        <w:rPr>
          <w:rFonts w:cs="Calibri"/>
          <w:b/>
          <w:color w:val="4472C4"/>
          <w:lang w:val="es-MX"/>
        </w:rPr>
      </w:pPr>
    </w:p>
    <w:p w14:paraId="7C7BC250" w14:textId="77777777" w:rsidR="001F45F2" w:rsidRPr="00E8057F" w:rsidRDefault="001F45F2" w:rsidP="001F45F2">
      <w:pPr>
        <w:jc w:val="center"/>
        <w:rPr>
          <w:rFonts w:cs="Calibri"/>
          <w:b/>
          <w:color w:val="4472C4"/>
          <w:lang w:val="es-MX"/>
        </w:rPr>
      </w:pPr>
    </w:p>
    <w:p w14:paraId="1961EBC9" w14:textId="77777777" w:rsidR="001F45F2" w:rsidRPr="00E8057F" w:rsidRDefault="001F45F2" w:rsidP="001F45F2">
      <w:pPr>
        <w:jc w:val="center"/>
        <w:rPr>
          <w:rFonts w:cs="Calibri"/>
          <w:b/>
          <w:color w:val="4472C4"/>
          <w:sz w:val="52"/>
          <w:lang w:val="es-MX"/>
        </w:rPr>
      </w:pPr>
      <w:r w:rsidRPr="00E8057F">
        <w:rPr>
          <w:rFonts w:cs="Calibri"/>
          <w:b/>
          <w:color w:val="4472C4"/>
          <w:sz w:val="52"/>
          <w:lang w:val="es-MX"/>
        </w:rPr>
        <w:t>GUÍA DE RESPONSABILIDAD SOCIAL</w:t>
      </w:r>
    </w:p>
    <w:p w14:paraId="5C9F414E" w14:textId="77777777" w:rsidR="001F45F2" w:rsidRPr="00E8057F" w:rsidRDefault="001F45F2" w:rsidP="001F45F2">
      <w:pPr>
        <w:jc w:val="center"/>
        <w:rPr>
          <w:rFonts w:cs="Calibri"/>
          <w:sz w:val="52"/>
          <w:lang w:val="es-MX"/>
        </w:rPr>
      </w:pPr>
    </w:p>
    <w:p w14:paraId="64992B85" w14:textId="77777777" w:rsidR="001F45F2" w:rsidRPr="00E8057F" w:rsidRDefault="001F45F2" w:rsidP="001F45F2">
      <w:pPr>
        <w:jc w:val="center"/>
        <w:rPr>
          <w:rFonts w:cs="Calibri"/>
          <w:color w:val="808080"/>
          <w:sz w:val="52"/>
          <w:lang w:val="es-MX"/>
        </w:rPr>
      </w:pPr>
      <w:r w:rsidRPr="00E8057F">
        <w:rPr>
          <w:rFonts w:cs="Calibri"/>
          <w:color w:val="808080"/>
          <w:sz w:val="52"/>
          <w:lang w:val="es-MX"/>
        </w:rPr>
        <w:t>Unidad Administrativa Especial de Servicios Públicos</w:t>
      </w:r>
    </w:p>
    <w:p w14:paraId="63277384" w14:textId="77777777" w:rsidR="001F45F2" w:rsidRPr="00E8057F" w:rsidRDefault="001F45F2" w:rsidP="001F45F2">
      <w:pPr>
        <w:jc w:val="center"/>
        <w:rPr>
          <w:rFonts w:cs="Calibri"/>
          <w:lang w:val="es-MX"/>
        </w:rPr>
      </w:pPr>
    </w:p>
    <w:p w14:paraId="7B8785DC" w14:textId="39331B46" w:rsidR="001F45F2" w:rsidRPr="00E8057F" w:rsidRDefault="001F45F2" w:rsidP="001F45F2">
      <w:pPr>
        <w:jc w:val="center"/>
        <w:rPr>
          <w:rFonts w:cs="Calibri"/>
          <w:lang w:val="es-MX"/>
        </w:rPr>
      </w:pPr>
      <w:r w:rsidRPr="00E8057F">
        <w:rPr>
          <w:rFonts w:cs="Calibri"/>
          <w:noProof/>
          <w:lang w:eastAsia="es-CO"/>
        </w:rPr>
        <w:drawing>
          <wp:inline distT="0" distB="0" distL="0" distR="0" wp14:anchorId="3425635E" wp14:editId="664326C4">
            <wp:extent cx="2207260" cy="2329815"/>
            <wp:effectExtent l="0" t="0" r="2540" b="0"/>
            <wp:docPr id="1" name="Imagen 1" descr="Logo Alcaldía, habitat y Uaesp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caldía, habitat y Uaesp Col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260" cy="2329815"/>
                    </a:xfrm>
                    <a:prstGeom prst="rect">
                      <a:avLst/>
                    </a:prstGeom>
                    <a:noFill/>
                    <a:ln>
                      <a:noFill/>
                    </a:ln>
                  </pic:spPr>
                </pic:pic>
              </a:graphicData>
            </a:graphic>
          </wp:inline>
        </w:drawing>
      </w:r>
    </w:p>
    <w:p w14:paraId="1927533E" w14:textId="77777777" w:rsidR="001F45F2" w:rsidRPr="00E8057F" w:rsidRDefault="001F45F2" w:rsidP="001F45F2">
      <w:pPr>
        <w:jc w:val="center"/>
        <w:rPr>
          <w:rFonts w:cs="Calibri"/>
          <w:lang w:val="es-MX"/>
        </w:rPr>
      </w:pPr>
    </w:p>
    <w:p w14:paraId="14B130FE" w14:textId="77777777" w:rsidR="001F45F2" w:rsidRPr="00E8057F" w:rsidRDefault="001F45F2" w:rsidP="001F45F2">
      <w:pPr>
        <w:jc w:val="center"/>
        <w:rPr>
          <w:rFonts w:cs="Calibri"/>
          <w:lang w:val="es-MX"/>
        </w:rPr>
      </w:pPr>
    </w:p>
    <w:p w14:paraId="6CB12DFA" w14:textId="77777777" w:rsidR="001F45F2" w:rsidRPr="00E8057F" w:rsidRDefault="001F45F2" w:rsidP="001F45F2">
      <w:pPr>
        <w:jc w:val="center"/>
        <w:rPr>
          <w:rFonts w:cs="Calibri"/>
          <w:lang w:val="es-MX"/>
        </w:rPr>
      </w:pPr>
    </w:p>
    <w:p w14:paraId="643DC861" w14:textId="77777777" w:rsidR="001F45F2" w:rsidRPr="00E8057F" w:rsidRDefault="001F45F2" w:rsidP="001F45F2">
      <w:pPr>
        <w:jc w:val="center"/>
        <w:rPr>
          <w:rFonts w:cs="Calibri"/>
          <w:lang w:val="es-MX"/>
        </w:rPr>
      </w:pPr>
    </w:p>
    <w:p w14:paraId="313D151E" w14:textId="369A7CB4" w:rsidR="00E8057F" w:rsidRDefault="00E8057F">
      <w:pPr>
        <w:rPr>
          <w:rFonts w:cs="Calibri"/>
          <w:lang w:val="es-MX"/>
        </w:rPr>
      </w:pPr>
      <w:r>
        <w:rPr>
          <w:rFonts w:cs="Calibri"/>
          <w:lang w:val="es-MX"/>
        </w:rPr>
        <w:br w:type="page"/>
      </w:r>
    </w:p>
    <w:p w14:paraId="5FAEC72D" w14:textId="77777777" w:rsidR="001F45F2" w:rsidRDefault="001F45F2" w:rsidP="001F45F2">
      <w:pPr>
        <w:jc w:val="center"/>
        <w:rPr>
          <w:rFonts w:cs="Calibri"/>
          <w:lang w:val="es-MX"/>
        </w:rPr>
      </w:pPr>
    </w:p>
    <w:p w14:paraId="37B7363C" w14:textId="77777777" w:rsidR="00EC37D1" w:rsidRDefault="00EC37D1" w:rsidP="001F45F2">
      <w:pPr>
        <w:jc w:val="center"/>
        <w:rPr>
          <w:rFonts w:cs="Calibri"/>
          <w:lang w:val="es-MX"/>
        </w:rPr>
      </w:pPr>
    </w:p>
    <w:p w14:paraId="0AA85E1D" w14:textId="77777777" w:rsidR="00EC37D1" w:rsidRPr="00E8057F" w:rsidRDefault="00EC37D1" w:rsidP="001F45F2">
      <w:pPr>
        <w:jc w:val="center"/>
        <w:rPr>
          <w:rFonts w:cs="Calibri"/>
          <w:lang w:val="es-MX"/>
        </w:rPr>
      </w:pPr>
    </w:p>
    <w:p w14:paraId="0F5FFE9C" w14:textId="77777777" w:rsidR="001F45F2" w:rsidRPr="00E8057F" w:rsidRDefault="001F45F2" w:rsidP="001F45F2">
      <w:pPr>
        <w:autoSpaceDE w:val="0"/>
        <w:autoSpaceDN w:val="0"/>
        <w:adjustRightInd w:val="0"/>
        <w:spacing w:after="0" w:line="240" w:lineRule="auto"/>
        <w:rPr>
          <w:color w:val="595959"/>
          <w:lang w:eastAsia="es-CO"/>
        </w:rPr>
      </w:pPr>
    </w:p>
    <w:p w14:paraId="70B770EC" w14:textId="0309F2D9" w:rsidR="001F45F2" w:rsidRPr="00E8057F" w:rsidRDefault="001F45F2" w:rsidP="00E8057F">
      <w:pPr>
        <w:spacing w:after="0"/>
        <w:rPr>
          <w:color w:val="595959"/>
          <w:lang w:eastAsia="es-CO"/>
        </w:rPr>
      </w:pPr>
      <w:r w:rsidRPr="00E8057F">
        <w:rPr>
          <w:color w:val="595959"/>
          <w:lang w:eastAsia="es-CO"/>
        </w:rPr>
        <w:t>Beatriz Elena Cárdenas Casas</w:t>
      </w:r>
    </w:p>
    <w:p w14:paraId="48740E29" w14:textId="77777777" w:rsidR="001F45F2" w:rsidRPr="00E8057F" w:rsidRDefault="001F45F2" w:rsidP="00E8057F">
      <w:pPr>
        <w:autoSpaceDE w:val="0"/>
        <w:autoSpaceDN w:val="0"/>
        <w:adjustRightInd w:val="0"/>
        <w:spacing w:after="0" w:line="240" w:lineRule="auto"/>
        <w:rPr>
          <w:b/>
          <w:color w:val="595959"/>
          <w:lang w:eastAsia="es-CO"/>
        </w:rPr>
      </w:pPr>
      <w:r w:rsidRPr="00E8057F">
        <w:rPr>
          <w:b/>
          <w:color w:val="595959"/>
          <w:lang w:eastAsia="es-CO"/>
        </w:rPr>
        <w:t>Directora</w:t>
      </w:r>
    </w:p>
    <w:p w14:paraId="275021A0" w14:textId="77777777" w:rsidR="001F45F2" w:rsidRPr="00E8057F" w:rsidRDefault="001F45F2" w:rsidP="00E8057F">
      <w:pPr>
        <w:autoSpaceDE w:val="0"/>
        <w:autoSpaceDN w:val="0"/>
        <w:adjustRightInd w:val="0"/>
        <w:spacing w:after="0" w:line="240" w:lineRule="auto"/>
        <w:rPr>
          <w:b/>
          <w:color w:val="595959"/>
          <w:lang w:eastAsia="es-CO"/>
        </w:rPr>
      </w:pPr>
    </w:p>
    <w:p w14:paraId="4826ABB9" w14:textId="77777777" w:rsidR="001F45F2" w:rsidRPr="00E8057F" w:rsidRDefault="001F45F2" w:rsidP="001F45F2">
      <w:pPr>
        <w:autoSpaceDE w:val="0"/>
        <w:autoSpaceDN w:val="0"/>
        <w:adjustRightInd w:val="0"/>
        <w:spacing w:after="0" w:line="240" w:lineRule="auto"/>
        <w:rPr>
          <w:color w:val="595959"/>
          <w:lang w:eastAsia="es-CO"/>
        </w:rPr>
      </w:pPr>
      <w:r w:rsidRPr="00E8057F">
        <w:rPr>
          <w:color w:val="595959"/>
          <w:lang w:eastAsia="es-CO"/>
        </w:rPr>
        <w:t>Marta Cecilia Murcia Chavarro</w:t>
      </w:r>
    </w:p>
    <w:p w14:paraId="0E96C5AE" w14:textId="77777777" w:rsidR="001F45F2" w:rsidRPr="00E8057F" w:rsidRDefault="001F45F2" w:rsidP="001F45F2">
      <w:pPr>
        <w:rPr>
          <w:b/>
          <w:color w:val="595959"/>
          <w:lang w:eastAsia="es-CO"/>
        </w:rPr>
      </w:pPr>
      <w:r w:rsidRPr="00E8057F">
        <w:rPr>
          <w:b/>
          <w:color w:val="595959"/>
          <w:lang w:eastAsia="es-CO"/>
        </w:rPr>
        <w:t>Jefe Oficina Asesora de Planeación</w:t>
      </w:r>
    </w:p>
    <w:p w14:paraId="492A6626" w14:textId="7EF49AD8" w:rsidR="001F45F2" w:rsidRPr="00E8057F" w:rsidRDefault="001F45F2" w:rsidP="001F45F2">
      <w:pPr>
        <w:autoSpaceDE w:val="0"/>
        <w:autoSpaceDN w:val="0"/>
        <w:adjustRightInd w:val="0"/>
        <w:spacing w:after="0" w:line="240" w:lineRule="auto"/>
        <w:rPr>
          <w:b/>
          <w:color w:val="595959"/>
          <w:lang w:eastAsia="es-CO"/>
        </w:rPr>
      </w:pPr>
      <w:r w:rsidRPr="00E8057F">
        <w:rPr>
          <w:b/>
          <w:color w:val="595959"/>
          <w:lang w:eastAsia="es-CO"/>
        </w:rPr>
        <w:t xml:space="preserve">Comité </w:t>
      </w:r>
      <w:r w:rsidR="00E8057F">
        <w:rPr>
          <w:b/>
          <w:color w:val="595959"/>
          <w:lang w:eastAsia="es-CO"/>
        </w:rPr>
        <w:t>de Responsabilidad Social</w:t>
      </w:r>
    </w:p>
    <w:p w14:paraId="7A9D93A5" w14:textId="3614889A" w:rsidR="001F45F2" w:rsidRDefault="00100D03" w:rsidP="001F45F2">
      <w:pPr>
        <w:autoSpaceDE w:val="0"/>
        <w:autoSpaceDN w:val="0"/>
        <w:adjustRightInd w:val="0"/>
        <w:spacing w:after="0" w:line="240" w:lineRule="auto"/>
        <w:rPr>
          <w:color w:val="595959"/>
          <w:lang w:eastAsia="es-CO"/>
        </w:rPr>
      </w:pPr>
      <w:r w:rsidRPr="00100D03">
        <w:rPr>
          <w:color w:val="595959"/>
          <w:lang w:eastAsia="es-CO"/>
        </w:rPr>
        <w:t xml:space="preserve">Jesús </w:t>
      </w:r>
      <w:r>
        <w:rPr>
          <w:color w:val="595959"/>
          <w:lang w:eastAsia="es-CO"/>
        </w:rPr>
        <w:t>Antonio Muñoz Cifuentes</w:t>
      </w:r>
    </w:p>
    <w:p w14:paraId="51A949A2" w14:textId="77777777" w:rsidR="00100D03" w:rsidRPr="00E8057F" w:rsidRDefault="00100D03" w:rsidP="00100D03">
      <w:pPr>
        <w:autoSpaceDE w:val="0"/>
        <w:autoSpaceDN w:val="0"/>
        <w:adjustRightInd w:val="0"/>
        <w:spacing w:after="0" w:line="240" w:lineRule="auto"/>
        <w:rPr>
          <w:color w:val="595959"/>
          <w:lang w:eastAsia="es-CO"/>
        </w:rPr>
      </w:pPr>
      <w:r w:rsidRPr="00E8057F">
        <w:rPr>
          <w:color w:val="595959"/>
          <w:lang w:eastAsia="es-CO"/>
        </w:rPr>
        <w:t>Marta Cecilia Murcia Chavarro</w:t>
      </w:r>
    </w:p>
    <w:p w14:paraId="4CC9533C" w14:textId="4B46D01E" w:rsidR="00100D03" w:rsidRDefault="00100D03" w:rsidP="001F45F2">
      <w:pPr>
        <w:autoSpaceDE w:val="0"/>
        <w:autoSpaceDN w:val="0"/>
        <w:adjustRightInd w:val="0"/>
        <w:spacing w:after="0" w:line="240" w:lineRule="auto"/>
        <w:rPr>
          <w:color w:val="595959"/>
          <w:lang w:eastAsia="es-CO"/>
        </w:rPr>
      </w:pPr>
      <w:r>
        <w:rPr>
          <w:color w:val="595959"/>
          <w:lang w:eastAsia="es-CO"/>
        </w:rPr>
        <w:t xml:space="preserve">Andrés Fernando Mateus </w:t>
      </w:r>
    </w:p>
    <w:p w14:paraId="2630041E" w14:textId="0C4C85F8" w:rsidR="00100D03" w:rsidRDefault="00100D03" w:rsidP="001F45F2">
      <w:pPr>
        <w:autoSpaceDE w:val="0"/>
        <w:autoSpaceDN w:val="0"/>
        <w:adjustRightInd w:val="0"/>
        <w:spacing w:after="0" w:line="240" w:lineRule="auto"/>
        <w:rPr>
          <w:color w:val="595959"/>
          <w:lang w:eastAsia="es-CO"/>
        </w:rPr>
      </w:pPr>
      <w:r>
        <w:rPr>
          <w:color w:val="595959"/>
          <w:lang w:eastAsia="es-CO"/>
        </w:rPr>
        <w:t>Carolina Alejandra Marín Martínez</w:t>
      </w:r>
    </w:p>
    <w:p w14:paraId="6EBC21E7" w14:textId="290A34AE" w:rsidR="003943D2" w:rsidRDefault="003943D2" w:rsidP="001F45F2">
      <w:pPr>
        <w:autoSpaceDE w:val="0"/>
        <w:autoSpaceDN w:val="0"/>
        <w:adjustRightInd w:val="0"/>
        <w:spacing w:after="0" w:line="240" w:lineRule="auto"/>
        <w:rPr>
          <w:color w:val="595959"/>
          <w:lang w:eastAsia="es-CO"/>
        </w:rPr>
      </w:pPr>
      <w:r>
        <w:rPr>
          <w:color w:val="595959"/>
          <w:lang w:eastAsia="es-CO"/>
        </w:rPr>
        <w:t>Martha Janeth Carreño Lizarazo</w:t>
      </w:r>
    </w:p>
    <w:p w14:paraId="0793C54A" w14:textId="5220D896" w:rsidR="003943D2" w:rsidRDefault="003943D2" w:rsidP="001F45F2">
      <w:pPr>
        <w:autoSpaceDE w:val="0"/>
        <w:autoSpaceDN w:val="0"/>
        <w:adjustRightInd w:val="0"/>
        <w:spacing w:after="0" w:line="240" w:lineRule="auto"/>
        <w:rPr>
          <w:color w:val="595959"/>
          <w:lang w:eastAsia="es-CO"/>
        </w:rPr>
      </w:pPr>
      <w:r>
        <w:rPr>
          <w:color w:val="595959"/>
          <w:lang w:eastAsia="es-CO"/>
        </w:rPr>
        <w:t>Margarita María Rivera</w:t>
      </w:r>
    </w:p>
    <w:p w14:paraId="5121CFDA" w14:textId="77777777" w:rsidR="003943D2" w:rsidRPr="00100D03" w:rsidRDefault="003943D2" w:rsidP="001F45F2">
      <w:pPr>
        <w:autoSpaceDE w:val="0"/>
        <w:autoSpaceDN w:val="0"/>
        <w:adjustRightInd w:val="0"/>
        <w:spacing w:after="0" w:line="240" w:lineRule="auto"/>
        <w:rPr>
          <w:color w:val="595959"/>
          <w:lang w:eastAsia="es-CO"/>
        </w:rPr>
      </w:pPr>
    </w:p>
    <w:p w14:paraId="5BE566CB" w14:textId="0AA55311" w:rsidR="00100D03" w:rsidRDefault="00100D03" w:rsidP="001F45F2">
      <w:pPr>
        <w:autoSpaceDE w:val="0"/>
        <w:autoSpaceDN w:val="0"/>
        <w:adjustRightInd w:val="0"/>
        <w:spacing w:after="0" w:line="240" w:lineRule="auto"/>
        <w:rPr>
          <w:b/>
          <w:color w:val="595959"/>
          <w:lang w:eastAsia="es-CO"/>
        </w:rPr>
      </w:pPr>
    </w:p>
    <w:p w14:paraId="03706B14" w14:textId="0AC87EB7" w:rsidR="00100D03" w:rsidRDefault="00100D03" w:rsidP="001F45F2">
      <w:pPr>
        <w:autoSpaceDE w:val="0"/>
        <w:autoSpaceDN w:val="0"/>
        <w:adjustRightInd w:val="0"/>
        <w:spacing w:after="0" w:line="240" w:lineRule="auto"/>
        <w:rPr>
          <w:b/>
          <w:color w:val="595959"/>
          <w:lang w:eastAsia="es-CO"/>
        </w:rPr>
      </w:pPr>
    </w:p>
    <w:p w14:paraId="48B1D88B" w14:textId="69CD30D3" w:rsidR="00100D03" w:rsidRDefault="00100D03" w:rsidP="001F45F2">
      <w:pPr>
        <w:autoSpaceDE w:val="0"/>
        <w:autoSpaceDN w:val="0"/>
        <w:adjustRightInd w:val="0"/>
        <w:spacing w:after="0" w:line="240" w:lineRule="auto"/>
        <w:rPr>
          <w:b/>
          <w:color w:val="595959"/>
          <w:lang w:eastAsia="es-CO"/>
        </w:rPr>
      </w:pPr>
    </w:p>
    <w:p w14:paraId="7FD6F0CE" w14:textId="73E10D16" w:rsidR="00100D03" w:rsidRDefault="00100D03" w:rsidP="001F45F2">
      <w:pPr>
        <w:autoSpaceDE w:val="0"/>
        <w:autoSpaceDN w:val="0"/>
        <w:adjustRightInd w:val="0"/>
        <w:spacing w:after="0" w:line="240" w:lineRule="auto"/>
        <w:rPr>
          <w:b/>
          <w:color w:val="595959"/>
          <w:lang w:eastAsia="es-CO"/>
        </w:rPr>
      </w:pPr>
    </w:p>
    <w:p w14:paraId="1BC007BF" w14:textId="77777777" w:rsidR="00100D03" w:rsidRPr="00E8057F" w:rsidRDefault="00100D03" w:rsidP="001F45F2">
      <w:pPr>
        <w:autoSpaceDE w:val="0"/>
        <w:autoSpaceDN w:val="0"/>
        <w:adjustRightInd w:val="0"/>
        <w:spacing w:after="0" w:line="240" w:lineRule="auto"/>
        <w:rPr>
          <w:b/>
          <w:color w:val="595959"/>
          <w:lang w:eastAsia="es-CO"/>
        </w:rPr>
      </w:pPr>
    </w:p>
    <w:p w14:paraId="0A362AF7" w14:textId="77777777" w:rsidR="001F45F2" w:rsidRPr="00E8057F" w:rsidRDefault="001F45F2" w:rsidP="001F45F2">
      <w:pPr>
        <w:autoSpaceDE w:val="0"/>
        <w:autoSpaceDN w:val="0"/>
        <w:adjustRightInd w:val="0"/>
        <w:spacing w:after="0" w:line="240" w:lineRule="auto"/>
        <w:rPr>
          <w:b/>
          <w:color w:val="595959"/>
          <w:lang w:eastAsia="es-CO"/>
        </w:rPr>
      </w:pPr>
      <w:r w:rsidRPr="00E8057F">
        <w:rPr>
          <w:b/>
          <w:color w:val="595959"/>
          <w:lang w:eastAsia="es-CO"/>
        </w:rPr>
        <w:t>Equipo de trabajo</w:t>
      </w:r>
    </w:p>
    <w:p w14:paraId="5B1AE952" w14:textId="3E30942F" w:rsidR="001F45F2" w:rsidRDefault="001F45F2" w:rsidP="001F45F2">
      <w:pPr>
        <w:autoSpaceDE w:val="0"/>
        <w:autoSpaceDN w:val="0"/>
        <w:adjustRightInd w:val="0"/>
        <w:spacing w:after="0" w:line="240" w:lineRule="auto"/>
        <w:rPr>
          <w:color w:val="595959"/>
          <w:lang w:eastAsia="es-CO"/>
        </w:rPr>
      </w:pPr>
      <w:r w:rsidRPr="00E8057F">
        <w:rPr>
          <w:color w:val="595959"/>
          <w:lang w:eastAsia="es-CO"/>
        </w:rPr>
        <w:t xml:space="preserve">Jazmín Karime Flórez </w:t>
      </w:r>
      <w:r w:rsidR="00E8057F">
        <w:rPr>
          <w:color w:val="595959"/>
          <w:lang w:eastAsia="es-CO"/>
        </w:rPr>
        <w:t>Vergel</w:t>
      </w:r>
    </w:p>
    <w:p w14:paraId="22A33031" w14:textId="778CCDF2" w:rsidR="00D83C2A" w:rsidRPr="00E8057F" w:rsidRDefault="00D83C2A" w:rsidP="001F45F2">
      <w:pPr>
        <w:autoSpaceDE w:val="0"/>
        <w:autoSpaceDN w:val="0"/>
        <w:adjustRightInd w:val="0"/>
        <w:spacing w:after="0" w:line="240" w:lineRule="auto"/>
        <w:rPr>
          <w:color w:val="595959"/>
          <w:lang w:eastAsia="es-CO"/>
        </w:rPr>
      </w:pPr>
      <w:r>
        <w:rPr>
          <w:color w:val="595959"/>
          <w:lang w:eastAsia="es-CO"/>
        </w:rPr>
        <w:t>Juan David Morales Barco</w:t>
      </w:r>
    </w:p>
    <w:p w14:paraId="1B01EABC" w14:textId="445219A7" w:rsidR="00E8057F" w:rsidRPr="00EC37D1" w:rsidRDefault="00E8057F" w:rsidP="001F45F2">
      <w:pPr>
        <w:autoSpaceDE w:val="0"/>
        <w:autoSpaceDN w:val="0"/>
        <w:adjustRightInd w:val="0"/>
        <w:spacing w:after="0" w:line="240" w:lineRule="auto"/>
        <w:rPr>
          <w:color w:val="595959"/>
          <w:lang w:eastAsia="es-CO"/>
        </w:rPr>
      </w:pPr>
      <w:r w:rsidRPr="00EC37D1">
        <w:rPr>
          <w:color w:val="595959"/>
          <w:lang w:eastAsia="es-CO"/>
        </w:rPr>
        <w:t>Diana Mildred Ruiz Rivera</w:t>
      </w:r>
    </w:p>
    <w:p w14:paraId="57E216A6" w14:textId="12DF84FF" w:rsidR="001F45F2" w:rsidRPr="00E8057F" w:rsidRDefault="00EC37D1" w:rsidP="001F45F2">
      <w:pPr>
        <w:autoSpaceDE w:val="0"/>
        <w:autoSpaceDN w:val="0"/>
        <w:adjustRightInd w:val="0"/>
        <w:spacing w:after="0" w:line="240" w:lineRule="auto"/>
        <w:rPr>
          <w:color w:val="595959"/>
          <w:lang w:eastAsia="es-CO"/>
        </w:rPr>
      </w:pPr>
      <w:r w:rsidRPr="00EC37D1">
        <w:rPr>
          <w:color w:val="595959"/>
          <w:lang w:eastAsia="es-CO"/>
        </w:rPr>
        <w:t>Peter Zahit Gomez Mancilla</w:t>
      </w:r>
    </w:p>
    <w:p w14:paraId="429A6C7B" w14:textId="35E88CB7" w:rsidR="00EC37D1" w:rsidRPr="00EC37D1" w:rsidRDefault="00EC37D1" w:rsidP="001F45F2">
      <w:pPr>
        <w:autoSpaceDE w:val="0"/>
        <w:autoSpaceDN w:val="0"/>
        <w:adjustRightInd w:val="0"/>
        <w:spacing w:after="0" w:line="240" w:lineRule="auto"/>
        <w:rPr>
          <w:color w:val="595959"/>
          <w:lang w:eastAsia="es-CO"/>
        </w:rPr>
      </w:pPr>
      <w:r w:rsidRPr="00EC37D1">
        <w:rPr>
          <w:color w:val="595959"/>
          <w:lang w:eastAsia="es-CO"/>
        </w:rPr>
        <w:t>Saada Solima Mahmud Sanchez</w:t>
      </w:r>
    </w:p>
    <w:p w14:paraId="4760AD5C" w14:textId="0C04DEE2" w:rsidR="00EC37D1" w:rsidRDefault="00EC37D1" w:rsidP="00EC37D1">
      <w:pPr>
        <w:autoSpaceDE w:val="0"/>
        <w:autoSpaceDN w:val="0"/>
        <w:adjustRightInd w:val="0"/>
        <w:spacing w:after="0" w:line="240" w:lineRule="auto"/>
        <w:rPr>
          <w:color w:val="595959"/>
          <w:lang w:eastAsia="es-CO"/>
        </w:rPr>
      </w:pPr>
      <w:r w:rsidRPr="00EC37D1">
        <w:rPr>
          <w:color w:val="595959"/>
          <w:lang w:eastAsia="es-CO"/>
        </w:rPr>
        <w:t>Zulayd Mateus Salinas</w:t>
      </w:r>
    </w:p>
    <w:p w14:paraId="7C259B5C" w14:textId="4BFCAE4A" w:rsidR="00EC37D1" w:rsidRPr="00EC37D1" w:rsidRDefault="00EC37D1" w:rsidP="00EC37D1">
      <w:pPr>
        <w:autoSpaceDE w:val="0"/>
        <w:autoSpaceDN w:val="0"/>
        <w:adjustRightInd w:val="0"/>
        <w:spacing w:after="0" w:line="240" w:lineRule="auto"/>
        <w:rPr>
          <w:color w:val="595959"/>
          <w:lang w:eastAsia="es-CO"/>
        </w:rPr>
      </w:pPr>
      <w:r>
        <w:rPr>
          <w:color w:val="595959"/>
          <w:lang w:eastAsia="es-CO"/>
        </w:rPr>
        <w:t>Jorge Alejandro Hidalgo Zambrano</w:t>
      </w:r>
    </w:p>
    <w:p w14:paraId="31E74CB5" w14:textId="7952E4EF" w:rsidR="00EC37D1" w:rsidRPr="00EC37D1" w:rsidRDefault="00EC37D1" w:rsidP="00EC37D1">
      <w:pPr>
        <w:autoSpaceDE w:val="0"/>
        <w:autoSpaceDN w:val="0"/>
        <w:adjustRightInd w:val="0"/>
        <w:spacing w:after="0" w:line="240" w:lineRule="auto"/>
        <w:rPr>
          <w:color w:val="595959"/>
          <w:lang w:eastAsia="es-CO"/>
        </w:rPr>
      </w:pPr>
      <w:r w:rsidRPr="00EC37D1">
        <w:rPr>
          <w:color w:val="595959"/>
          <w:lang w:eastAsia="es-CO"/>
        </w:rPr>
        <w:t>Gloria Amparo Martínez</w:t>
      </w:r>
      <w:r>
        <w:rPr>
          <w:color w:val="595959"/>
          <w:lang w:eastAsia="es-CO"/>
        </w:rPr>
        <w:t xml:space="preserve"> Dulce</w:t>
      </w:r>
    </w:p>
    <w:p w14:paraId="657A294E" w14:textId="33C6F488" w:rsidR="00EC37D1" w:rsidRPr="00EC37D1" w:rsidRDefault="006A35C0">
      <w:pPr>
        <w:rPr>
          <w:color w:val="595959"/>
          <w:lang w:eastAsia="es-CO"/>
        </w:rPr>
      </w:pPr>
      <w:r>
        <w:rPr>
          <w:color w:val="595959"/>
          <w:lang w:eastAsia="es-CO"/>
        </w:rPr>
        <w:t>Kelly Johanna Basabe Alvarado</w:t>
      </w:r>
    </w:p>
    <w:p w14:paraId="18D4B440" w14:textId="62E77B83" w:rsidR="00E8057F" w:rsidRDefault="00E8057F">
      <w:pPr>
        <w:rPr>
          <w:b/>
        </w:rPr>
      </w:pPr>
      <w:r>
        <w:rPr>
          <w:b/>
        </w:rPr>
        <w:br w:type="page"/>
      </w:r>
    </w:p>
    <w:p w14:paraId="7EAA9A4B" w14:textId="77777777" w:rsidR="006B6440" w:rsidRPr="00E8057F" w:rsidRDefault="006B6440" w:rsidP="006B6440">
      <w:pPr>
        <w:jc w:val="center"/>
        <w:rPr>
          <w:b/>
        </w:rPr>
      </w:pPr>
    </w:p>
    <w:sdt>
      <w:sdtPr>
        <w:rPr>
          <w:rFonts w:asciiTheme="minorHAnsi" w:eastAsiaTheme="minorHAnsi" w:hAnsiTheme="minorHAnsi" w:cstheme="minorBidi"/>
          <w:b w:val="0"/>
          <w:bCs w:val="0"/>
          <w:color w:val="auto"/>
          <w:sz w:val="22"/>
          <w:szCs w:val="22"/>
          <w:lang w:val="es-CO" w:eastAsia="en-US"/>
        </w:rPr>
        <w:id w:val="510416810"/>
        <w:docPartObj>
          <w:docPartGallery w:val="Table of Contents"/>
          <w:docPartUnique/>
        </w:docPartObj>
      </w:sdtPr>
      <w:sdtEndPr/>
      <w:sdtContent>
        <w:p w14:paraId="7E4E7C9F" w14:textId="716AC62C" w:rsidR="00E8057F" w:rsidRDefault="00E8057F">
          <w:pPr>
            <w:pStyle w:val="TtuloTDC"/>
          </w:pPr>
          <w:r>
            <w:t>Contenido</w:t>
          </w:r>
        </w:p>
        <w:p w14:paraId="58A43B9F" w14:textId="77777777" w:rsidR="00E8057F" w:rsidRDefault="00E8057F">
          <w:pPr>
            <w:pStyle w:val="TDC2"/>
            <w:tabs>
              <w:tab w:val="right" w:leader="dot" w:pos="8828"/>
            </w:tabs>
            <w:rPr>
              <w:noProof/>
            </w:rPr>
          </w:pPr>
          <w:r>
            <w:fldChar w:fldCharType="begin"/>
          </w:r>
          <w:r>
            <w:instrText xml:space="preserve"> TOC \o "1-3" \h \z \u </w:instrText>
          </w:r>
          <w:r>
            <w:fldChar w:fldCharType="separate"/>
          </w:r>
          <w:hyperlink w:anchor="_Toc18351771" w:history="1">
            <w:r w:rsidRPr="007235D2">
              <w:rPr>
                <w:rStyle w:val="Hipervnculo"/>
                <w:noProof/>
              </w:rPr>
              <w:t>PRESENTACIÓN</w:t>
            </w:r>
            <w:r>
              <w:rPr>
                <w:noProof/>
                <w:webHidden/>
              </w:rPr>
              <w:tab/>
            </w:r>
            <w:r>
              <w:rPr>
                <w:noProof/>
                <w:webHidden/>
              </w:rPr>
              <w:fldChar w:fldCharType="begin"/>
            </w:r>
            <w:r>
              <w:rPr>
                <w:noProof/>
                <w:webHidden/>
              </w:rPr>
              <w:instrText xml:space="preserve"> PAGEREF _Toc18351771 \h </w:instrText>
            </w:r>
            <w:r>
              <w:rPr>
                <w:noProof/>
                <w:webHidden/>
              </w:rPr>
            </w:r>
            <w:r>
              <w:rPr>
                <w:noProof/>
                <w:webHidden/>
              </w:rPr>
              <w:fldChar w:fldCharType="separate"/>
            </w:r>
            <w:r>
              <w:rPr>
                <w:noProof/>
                <w:webHidden/>
              </w:rPr>
              <w:t>3</w:t>
            </w:r>
            <w:r>
              <w:rPr>
                <w:noProof/>
                <w:webHidden/>
              </w:rPr>
              <w:fldChar w:fldCharType="end"/>
            </w:r>
          </w:hyperlink>
        </w:p>
        <w:p w14:paraId="2F901928" w14:textId="77777777" w:rsidR="00E8057F" w:rsidRDefault="00B26DA6">
          <w:pPr>
            <w:pStyle w:val="TDC2"/>
            <w:tabs>
              <w:tab w:val="left" w:pos="660"/>
              <w:tab w:val="right" w:leader="dot" w:pos="8828"/>
            </w:tabs>
            <w:rPr>
              <w:noProof/>
            </w:rPr>
          </w:pPr>
          <w:hyperlink w:anchor="_Toc18351772" w:history="1">
            <w:r w:rsidR="00E8057F" w:rsidRPr="007235D2">
              <w:rPr>
                <w:rStyle w:val="Hipervnculo"/>
                <w:noProof/>
              </w:rPr>
              <w:t>1.</w:t>
            </w:r>
            <w:r w:rsidR="00E8057F">
              <w:rPr>
                <w:noProof/>
              </w:rPr>
              <w:tab/>
            </w:r>
            <w:r w:rsidR="00E8057F" w:rsidRPr="007235D2">
              <w:rPr>
                <w:rStyle w:val="Hipervnculo"/>
                <w:noProof/>
              </w:rPr>
              <w:t>Definición de Responsabilidad Social para la UAESP</w:t>
            </w:r>
            <w:r w:rsidR="00E8057F">
              <w:rPr>
                <w:noProof/>
                <w:webHidden/>
              </w:rPr>
              <w:tab/>
            </w:r>
            <w:r w:rsidR="00E8057F">
              <w:rPr>
                <w:noProof/>
                <w:webHidden/>
              </w:rPr>
              <w:fldChar w:fldCharType="begin"/>
            </w:r>
            <w:r w:rsidR="00E8057F">
              <w:rPr>
                <w:noProof/>
                <w:webHidden/>
              </w:rPr>
              <w:instrText xml:space="preserve"> PAGEREF _Toc18351772 \h </w:instrText>
            </w:r>
            <w:r w:rsidR="00E8057F">
              <w:rPr>
                <w:noProof/>
                <w:webHidden/>
              </w:rPr>
            </w:r>
            <w:r w:rsidR="00E8057F">
              <w:rPr>
                <w:noProof/>
                <w:webHidden/>
              </w:rPr>
              <w:fldChar w:fldCharType="separate"/>
            </w:r>
            <w:r w:rsidR="00E8057F">
              <w:rPr>
                <w:noProof/>
                <w:webHidden/>
              </w:rPr>
              <w:t>3</w:t>
            </w:r>
            <w:r w:rsidR="00E8057F">
              <w:rPr>
                <w:noProof/>
                <w:webHidden/>
              </w:rPr>
              <w:fldChar w:fldCharType="end"/>
            </w:r>
          </w:hyperlink>
        </w:p>
        <w:p w14:paraId="4621D791" w14:textId="77777777" w:rsidR="00E8057F" w:rsidRDefault="00B26DA6">
          <w:pPr>
            <w:pStyle w:val="TDC2"/>
            <w:tabs>
              <w:tab w:val="left" w:pos="660"/>
              <w:tab w:val="right" w:leader="dot" w:pos="8828"/>
            </w:tabs>
            <w:rPr>
              <w:noProof/>
            </w:rPr>
          </w:pPr>
          <w:hyperlink w:anchor="_Toc18351773" w:history="1">
            <w:r w:rsidR="00E8057F" w:rsidRPr="007235D2">
              <w:rPr>
                <w:rStyle w:val="Hipervnculo"/>
                <w:noProof/>
              </w:rPr>
              <w:t>2.</w:t>
            </w:r>
            <w:r w:rsidR="00E8057F">
              <w:rPr>
                <w:noProof/>
              </w:rPr>
              <w:tab/>
            </w:r>
            <w:r w:rsidR="00E8057F" w:rsidRPr="007235D2">
              <w:rPr>
                <w:rStyle w:val="Hipervnculo"/>
                <w:noProof/>
              </w:rPr>
              <w:t>Marco de Referencia</w:t>
            </w:r>
            <w:r w:rsidR="00E8057F">
              <w:rPr>
                <w:noProof/>
                <w:webHidden/>
              </w:rPr>
              <w:tab/>
            </w:r>
            <w:r w:rsidR="00E8057F">
              <w:rPr>
                <w:noProof/>
                <w:webHidden/>
              </w:rPr>
              <w:fldChar w:fldCharType="begin"/>
            </w:r>
            <w:r w:rsidR="00E8057F">
              <w:rPr>
                <w:noProof/>
                <w:webHidden/>
              </w:rPr>
              <w:instrText xml:space="preserve"> PAGEREF _Toc18351773 \h </w:instrText>
            </w:r>
            <w:r w:rsidR="00E8057F">
              <w:rPr>
                <w:noProof/>
                <w:webHidden/>
              </w:rPr>
            </w:r>
            <w:r w:rsidR="00E8057F">
              <w:rPr>
                <w:noProof/>
                <w:webHidden/>
              </w:rPr>
              <w:fldChar w:fldCharType="separate"/>
            </w:r>
            <w:r w:rsidR="00E8057F">
              <w:rPr>
                <w:noProof/>
                <w:webHidden/>
              </w:rPr>
              <w:t>4</w:t>
            </w:r>
            <w:r w:rsidR="00E8057F">
              <w:rPr>
                <w:noProof/>
                <w:webHidden/>
              </w:rPr>
              <w:fldChar w:fldCharType="end"/>
            </w:r>
          </w:hyperlink>
        </w:p>
        <w:p w14:paraId="1B57ACD2" w14:textId="77777777" w:rsidR="00E8057F" w:rsidRDefault="00B26DA6">
          <w:pPr>
            <w:pStyle w:val="TDC2"/>
            <w:tabs>
              <w:tab w:val="left" w:pos="660"/>
              <w:tab w:val="right" w:leader="dot" w:pos="8828"/>
            </w:tabs>
            <w:rPr>
              <w:noProof/>
            </w:rPr>
          </w:pPr>
          <w:hyperlink w:anchor="_Toc18351774" w:history="1">
            <w:r w:rsidR="00E8057F" w:rsidRPr="007235D2">
              <w:rPr>
                <w:rStyle w:val="Hipervnculo"/>
                <w:noProof/>
              </w:rPr>
              <w:t>3.</w:t>
            </w:r>
            <w:r w:rsidR="00E8057F">
              <w:rPr>
                <w:noProof/>
              </w:rPr>
              <w:tab/>
            </w:r>
            <w:r w:rsidR="00E8057F" w:rsidRPr="007235D2">
              <w:rPr>
                <w:rStyle w:val="Hipervnculo"/>
                <w:noProof/>
              </w:rPr>
              <w:t>Rol de la UAESP en el marco de la responsabilidad social, a partir de los roles planteados por el Banco Mundial</w:t>
            </w:r>
            <w:r w:rsidR="00E8057F">
              <w:rPr>
                <w:noProof/>
                <w:webHidden/>
              </w:rPr>
              <w:tab/>
            </w:r>
            <w:r w:rsidR="00E8057F">
              <w:rPr>
                <w:noProof/>
                <w:webHidden/>
              </w:rPr>
              <w:fldChar w:fldCharType="begin"/>
            </w:r>
            <w:r w:rsidR="00E8057F">
              <w:rPr>
                <w:noProof/>
                <w:webHidden/>
              </w:rPr>
              <w:instrText xml:space="preserve"> PAGEREF _Toc18351774 \h </w:instrText>
            </w:r>
            <w:r w:rsidR="00E8057F">
              <w:rPr>
                <w:noProof/>
                <w:webHidden/>
              </w:rPr>
            </w:r>
            <w:r w:rsidR="00E8057F">
              <w:rPr>
                <w:noProof/>
                <w:webHidden/>
              </w:rPr>
              <w:fldChar w:fldCharType="separate"/>
            </w:r>
            <w:r w:rsidR="00E8057F">
              <w:rPr>
                <w:noProof/>
                <w:webHidden/>
              </w:rPr>
              <w:t>5</w:t>
            </w:r>
            <w:r w:rsidR="00E8057F">
              <w:rPr>
                <w:noProof/>
                <w:webHidden/>
              </w:rPr>
              <w:fldChar w:fldCharType="end"/>
            </w:r>
          </w:hyperlink>
        </w:p>
        <w:p w14:paraId="0D8DB149" w14:textId="77777777" w:rsidR="00E8057F" w:rsidRDefault="00B26DA6">
          <w:pPr>
            <w:pStyle w:val="TDC2"/>
            <w:tabs>
              <w:tab w:val="left" w:pos="660"/>
              <w:tab w:val="right" w:leader="dot" w:pos="8828"/>
            </w:tabs>
            <w:rPr>
              <w:noProof/>
            </w:rPr>
          </w:pPr>
          <w:hyperlink w:anchor="_Toc18351775" w:history="1">
            <w:r w:rsidR="00E8057F" w:rsidRPr="007235D2">
              <w:rPr>
                <w:rStyle w:val="Hipervnculo"/>
                <w:noProof/>
              </w:rPr>
              <w:t>4.</w:t>
            </w:r>
            <w:r w:rsidR="00E8057F">
              <w:rPr>
                <w:noProof/>
              </w:rPr>
              <w:tab/>
            </w:r>
            <w:r w:rsidR="00E8057F" w:rsidRPr="007235D2">
              <w:rPr>
                <w:rStyle w:val="Hipervnculo"/>
                <w:noProof/>
              </w:rPr>
              <w:t>Responsabilidad Social y Objetivos de Desarrollo Sostenible</w:t>
            </w:r>
            <w:r w:rsidR="00E8057F">
              <w:rPr>
                <w:noProof/>
                <w:webHidden/>
              </w:rPr>
              <w:tab/>
            </w:r>
            <w:r w:rsidR="00E8057F">
              <w:rPr>
                <w:noProof/>
                <w:webHidden/>
              </w:rPr>
              <w:fldChar w:fldCharType="begin"/>
            </w:r>
            <w:r w:rsidR="00E8057F">
              <w:rPr>
                <w:noProof/>
                <w:webHidden/>
              </w:rPr>
              <w:instrText xml:space="preserve"> PAGEREF _Toc18351775 \h </w:instrText>
            </w:r>
            <w:r w:rsidR="00E8057F">
              <w:rPr>
                <w:noProof/>
                <w:webHidden/>
              </w:rPr>
            </w:r>
            <w:r w:rsidR="00E8057F">
              <w:rPr>
                <w:noProof/>
                <w:webHidden/>
              </w:rPr>
              <w:fldChar w:fldCharType="separate"/>
            </w:r>
            <w:r w:rsidR="00E8057F">
              <w:rPr>
                <w:noProof/>
                <w:webHidden/>
              </w:rPr>
              <w:t>5</w:t>
            </w:r>
            <w:r w:rsidR="00E8057F">
              <w:rPr>
                <w:noProof/>
                <w:webHidden/>
              </w:rPr>
              <w:fldChar w:fldCharType="end"/>
            </w:r>
          </w:hyperlink>
        </w:p>
        <w:p w14:paraId="0FD6EB74" w14:textId="77777777" w:rsidR="00E8057F" w:rsidRDefault="00B26DA6">
          <w:pPr>
            <w:pStyle w:val="TDC2"/>
            <w:tabs>
              <w:tab w:val="left" w:pos="660"/>
              <w:tab w:val="right" w:leader="dot" w:pos="8828"/>
            </w:tabs>
            <w:rPr>
              <w:noProof/>
            </w:rPr>
          </w:pPr>
          <w:hyperlink w:anchor="_Toc18351776" w:history="1">
            <w:r w:rsidR="00E8057F" w:rsidRPr="007235D2">
              <w:rPr>
                <w:rStyle w:val="Hipervnculo"/>
                <w:noProof/>
              </w:rPr>
              <w:t>5.</w:t>
            </w:r>
            <w:r w:rsidR="00E8057F">
              <w:rPr>
                <w:noProof/>
              </w:rPr>
              <w:tab/>
            </w:r>
            <w:r w:rsidR="00E8057F" w:rsidRPr="007235D2">
              <w:rPr>
                <w:rStyle w:val="Hipervnculo"/>
                <w:noProof/>
              </w:rPr>
              <w:t>Objetivo de la Guía de Responsabilidad Social</w:t>
            </w:r>
            <w:r w:rsidR="00E8057F">
              <w:rPr>
                <w:noProof/>
                <w:webHidden/>
              </w:rPr>
              <w:tab/>
            </w:r>
            <w:r w:rsidR="00E8057F">
              <w:rPr>
                <w:noProof/>
                <w:webHidden/>
              </w:rPr>
              <w:fldChar w:fldCharType="begin"/>
            </w:r>
            <w:r w:rsidR="00E8057F">
              <w:rPr>
                <w:noProof/>
                <w:webHidden/>
              </w:rPr>
              <w:instrText xml:space="preserve"> PAGEREF _Toc18351776 \h </w:instrText>
            </w:r>
            <w:r w:rsidR="00E8057F">
              <w:rPr>
                <w:noProof/>
                <w:webHidden/>
              </w:rPr>
            </w:r>
            <w:r w:rsidR="00E8057F">
              <w:rPr>
                <w:noProof/>
                <w:webHidden/>
              </w:rPr>
              <w:fldChar w:fldCharType="separate"/>
            </w:r>
            <w:r w:rsidR="00E8057F">
              <w:rPr>
                <w:noProof/>
                <w:webHidden/>
              </w:rPr>
              <w:t>11</w:t>
            </w:r>
            <w:r w:rsidR="00E8057F">
              <w:rPr>
                <w:noProof/>
                <w:webHidden/>
              </w:rPr>
              <w:fldChar w:fldCharType="end"/>
            </w:r>
          </w:hyperlink>
        </w:p>
        <w:p w14:paraId="431381E1" w14:textId="77777777" w:rsidR="00E8057F" w:rsidRDefault="00B26DA6">
          <w:pPr>
            <w:pStyle w:val="TDC2"/>
            <w:tabs>
              <w:tab w:val="left" w:pos="660"/>
              <w:tab w:val="right" w:leader="dot" w:pos="8828"/>
            </w:tabs>
            <w:rPr>
              <w:noProof/>
            </w:rPr>
          </w:pPr>
          <w:hyperlink w:anchor="_Toc18351777" w:history="1">
            <w:r w:rsidR="00E8057F" w:rsidRPr="007235D2">
              <w:rPr>
                <w:rStyle w:val="Hipervnculo"/>
                <w:noProof/>
              </w:rPr>
              <w:t>6.</w:t>
            </w:r>
            <w:r w:rsidR="00E8057F">
              <w:rPr>
                <w:noProof/>
              </w:rPr>
              <w:tab/>
            </w:r>
            <w:r w:rsidR="00E8057F" w:rsidRPr="007235D2">
              <w:rPr>
                <w:rStyle w:val="Hipervnculo"/>
                <w:noProof/>
              </w:rPr>
              <w:t>Agenda UAESP en cumplimiento de las materias fundamentales de la Responsabilidad Social</w:t>
            </w:r>
            <w:r w:rsidR="00E8057F">
              <w:rPr>
                <w:noProof/>
                <w:webHidden/>
              </w:rPr>
              <w:tab/>
            </w:r>
            <w:r w:rsidR="00E8057F">
              <w:rPr>
                <w:noProof/>
                <w:webHidden/>
              </w:rPr>
              <w:fldChar w:fldCharType="begin"/>
            </w:r>
            <w:r w:rsidR="00E8057F">
              <w:rPr>
                <w:noProof/>
                <w:webHidden/>
              </w:rPr>
              <w:instrText xml:space="preserve"> PAGEREF _Toc18351777 \h </w:instrText>
            </w:r>
            <w:r w:rsidR="00E8057F">
              <w:rPr>
                <w:noProof/>
                <w:webHidden/>
              </w:rPr>
            </w:r>
            <w:r w:rsidR="00E8057F">
              <w:rPr>
                <w:noProof/>
                <w:webHidden/>
              </w:rPr>
              <w:fldChar w:fldCharType="separate"/>
            </w:r>
            <w:r w:rsidR="00E8057F">
              <w:rPr>
                <w:noProof/>
                <w:webHidden/>
              </w:rPr>
              <w:t>11</w:t>
            </w:r>
            <w:r w:rsidR="00E8057F">
              <w:rPr>
                <w:noProof/>
                <w:webHidden/>
              </w:rPr>
              <w:fldChar w:fldCharType="end"/>
            </w:r>
          </w:hyperlink>
        </w:p>
        <w:p w14:paraId="5E6A6C2E" w14:textId="77777777" w:rsidR="00E8057F" w:rsidRDefault="00B26DA6">
          <w:pPr>
            <w:pStyle w:val="TDC2"/>
            <w:tabs>
              <w:tab w:val="left" w:pos="880"/>
              <w:tab w:val="right" w:leader="dot" w:pos="8828"/>
            </w:tabs>
            <w:rPr>
              <w:noProof/>
            </w:rPr>
          </w:pPr>
          <w:hyperlink w:anchor="_Toc18351778" w:history="1">
            <w:r w:rsidR="00E8057F" w:rsidRPr="007235D2">
              <w:rPr>
                <w:rStyle w:val="Hipervnculo"/>
                <w:noProof/>
              </w:rPr>
              <w:t>6.1.</w:t>
            </w:r>
            <w:r w:rsidR="00E8057F">
              <w:rPr>
                <w:noProof/>
              </w:rPr>
              <w:tab/>
            </w:r>
            <w:r w:rsidR="00E8057F" w:rsidRPr="007235D2">
              <w:rPr>
                <w:rStyle w:val="Hipervnculo"/>
                <w:noProof/>
              </w:rPr>
              <w:t>Gobernanza en la entidad</w:t>
            </w:r>
            <w:r w:rsidR="00E8057F">
              <w:rPr>
                <w:noProof/>
                <w:webHidden/>
              </w:rPr>
              <w:tab/>
            </w:r>
            <w:r w:rsidR="00E8057F">
              <w:rPr>
                <w:noProof/>
                <w:webHidden/>
              </w:rPr>
              <w:fldChar w:fldCharType="begin"/>
            </w:r>
            <w:r w:rsidR="00E8057F">
              <w:rPr>
                <w:noProof/>
                <w:webHidden/>
              </w:rPr>
              <w:instrText xml:space="preserve"> PAGEREF _Toc18351778 \h </w:instrText>
            </w:r>
            <w:r w:rsidR="00E8057F">
              <w:rPr>
                <w:noProof/>
                <w:webHidden/>
              </w:rPr>
            </w:r>
            <w:r w:rsidR="00E8057F">
              <w:rPr>
                <w:noProof/>
                <w:webHidden/>
              </w:rPr>
              <w:fldChar w:fldCharType="separate"/>
            </w:r>
            <w:r w:rsidR="00E8057F">
              <w:rPr>
                <w:noProof/>
                <w:webHidden/>
              </w:rPr>
              <w:t>11</w:t>
            </w:r>
            <w:r w:rsidR="00E8057F">
              <w:rPr>
                <w:noProof/>
                <w:webHidden/>
              </w:rPr>
              <w:fldChar w:fldCharType="end"/>
            </w:r>
          </w:hyperlink>
        </w:p>
        <w:p w14:paraId="33C4F994" w14:textId="77777777" w:rsidR="00E8057F" w:rsidRDefault="00B26DA6">
          <w:pPr>
            <w:pStyle w:val="TDC2"/>
            <w:tabs>
              <w:tab w:val="left" w:pos="880"/>
              <w:tab w:val="right" w:leader="dot" w:pos="8828"/>
            </w:tabs>
            <w:rPr>
              <w:noProof/>
            </w:rPr>
          </w:pPr>
          <w:hyperlink w:anchor="_Toc18351779" w:history="1">
            <w:r w:rsidR="00E8057F" w:rsidRPr="007235D2">
              <w:rPr>
                <w:rStyle w:val="Hipervnculo"/>
                <w:noProof/>
              </w:rPr>
              <w:t>6.2.</w:t>
            </w:r>
            <w:r w:rsidR="00E8057F">
              <w:rPr>
                <w:noProof/>
              </w:rPr>
              <w:tab/>
            </w:r>
            <w:r w:rsidR="00E8057F" w:rsidRPr="007235D2">
              <w:rPr>
                <w:rStyle w:val="Hipervnculo"/>
                <w:noProof/>
              </w:rPr>
              <w:t>Participación activa y desarrollo de la comunidad</w:t>
            </w:r>
            <w:r w:rsidR="00E8057F">
              <w:rPr>
                <w:noProof/>
                <w:webHidden/>
              </w:rPr>
              <w:tab/>
            </w:r>
            <w:r w:rsidR="00E8057F">
              <w:rPr>
                <w:noProof/>
                <w:webHidden/>
              </w:rPr>
              <w:fldChar w:fldCharType="begin"/>
            </w:r>
            <w:r w:rsidR="00E8057F">
              <w:rPr>
                <w:noProof/>
                <w:webHidden/>
              </w:rPr>
              <w:instrText xml:space="preserve"> PAGEREF _Toc18351779 \h </w:instrText>
            </w:r>
            <w:r w:rsidR="00E8057F">
              <w:rPr>
                <w:noProof/>
                <w:webHidden/>
              </w:rPr>
            </w:r>
            <w:r w:rsidR="00E8057F">
              <w:rPr>
                <w:noProof/>
                <w:webHidden/>
              </w:rPr>
              <w:fldChar w:fldCharType="separate"/>
            </w:r>
            <w:r w:rsidR="00E8057F">
              <w:rPr>
                <w:noProof/>
                <w:webHidden/>
              </w:rPr>
              <w:t>11</w:t>
            </w:r>
            <w:r w:rsidR="00E8057F">
              <w:rPr>
                <w:noProof/>
                <w:webHidden/>
              </w:rPr>
              <w:fldChar w:fldCharType="end"/>
            </w:r>
          </w:hyperlink>
        </w:p>
        <w:p w14:paraId="26A76694" w14:textId="77777777" w:rsidR="00E8057F" w:rsidRDefault="00B26DA6">
          <w:pPr>
            <w:pStyle w:val="TDC2"/>
            <w:tabs>
              <w:tab w:val="left" w:pos="880"/>
              <w:tab w:val="right" w:leader="dot" w:pos="8828"/>
            </w:tabs>
            <w:rPr>
              <w:noProof/>
            </w:rPr>
          </w:pPr>
          <w:hyperlink w:anchor="_Toc18351780" w:history="1">
            <w:r w:rsidR="00E8057F" w:rsidRPr="007235D2">
              <w:rPr>
                <w:rStyle w:val="Hipervnculo"/>
                <w:noProof/>
              </w:rPr>
              <w:t>6.3.</w:t>
            </w:r>
            <w:r w:rsidR="00E8057F">
              <w:rPr>
                <w:noProof/>
              </w:rPr>
              <w:tab/>
            </w:r>
            <w:r w:rsidR="00E8057F" w:rsidRPr="007235D2">
              <w:rPr>
                <w:rStyle w:val="Hipervnculo"/>
                <w:noProof/>
              </w:rPr>
              <w:t>Derechos Humanos</w:t>
            </w:r>
            <w:r w:rsidR="00E8057F">
              <w:rPr>
                <w:noProof/>
                <w:webHidden/>
              </w:rPr>
              <w:tab/>
            </w:r>
            <w:r w:rsidR="00E8057F">
              <w:rPr>
                <w:noProof/>
                <w:webHidden/>
              </w:rPr>
              <w:fldChar w:fldCharType="begin"/>
            </w:r>
            <w:r w:rsidR="00E8057F">
              <w:rPr>
                <w:noProof/>
                <w:webHidden/>
              </w:rPr>
              <w:instrText xml:space="preserve"> PAGEREF _Toc18351780 \h </w:instrText>
            </w:r>
            <w:r w:rsidR="00E8057F">
              <w:rPr>
                <w:noProof/>
                <w:webHidden/>
              </w:rPr>
            </w:r>
            <w:r w:rsidR="00E8057F">
              <w:rPr>
                <w:noProof/>
                <w:webHidden/>
              </w:rPr>
              <w:fldChar w:fldCharType="separate"/>
            </w:r>
            <w:r w:rsidR="00E8057F">
              <w:rPr>
                <w:noProof/>
                <w:webHidden/>
              </w:rPr>
              <w:t>12</w:t>
            </w:r>
            <w:r w:rsidR="00E8057F">
              <w:rPr>
                <w:noProof/>
                <w:webHidden/>
              </w:rPr>
              <w:fldChar w:fldCharType="end"/>
            </w:r>
          </w:hyperlink>
        </w:p>
        <w:p w14:paraId="7F16FE00" w14:textId="77777777" w:rsidR="00E8057F" w:rsidRDefault="00B26DA6">
          <w:pPr>
            <w:pStyle w:val="TDC2"/>
            <w:tabs>
              <w:tab w:val="left" w:pos="880"/>
              <w:tab w:val="right" w:leader="dot" w:pos="8828"/>
            </w:tabs>
            <w:rPr>
              <w:noProof/>
            </w:rPr>
          </w:pPr>
          <w:hyperlink w:anchor="_Toc18351781" w:history="1">
            <w:r w:rsidR="00E8057F" w:rsidRPr="007235D2">
              <w:rPr>
                <w:rStyle w:val="Hipervnculo"/>
                <w:noProof/>
              </w:rPr>
              <w:t>6.4.</w:t>
            </w:r>
            <w:r w:rsidR="00E8057F">
              <w:rPr>
                <w:noProof/>
              </w:rPr>
              <w:tab/>
            </w:r>
            <w:r w:rsidR="00E8057F" w:rsidRPr="007235D2">
              <w:rPr>
                <w:rStyle w:val="Hipervnculo"/>
                <w:noProof/>
              </w:rPr>
              <w:t>Prácticas laborales</w:t>
            </w:r>
            <w:r w:rsidR="00E8057F">
              <w:rPr>
                <w:noProof/>
                <w:webHidden/>
              </w:rPr>
              <w:tab/>
            </w:r>
            <w:r w:rsidR="00E8057F">
              <w:rPr>
                <w:noProof/>
                <w:webHidden/>
              </w:rPr>
              <w:fldChar w:fldCharType="begin"/>
            </w:r>
            <w:r w:rsidR="00E8057F">
              <w:rPr>
                <w:noProof/>
                <w:webHidden/>
              </w:rPr>
              <w:instrText xml:space="preserve"> PAGEREF _Toc18351781 \h </w:instrText>
            </w:r>
            <w:r w:rsidR="00E8057F">
              <w:rPr>
                <w:noProof/>
                <w:webHidden/>
              </w:rPr>
            </w:r>
            <w:r w:rsidR="00E8057F">
              <w:rPr>
                <w:noProof/>
                <w:webHidden/>
              </w:rPr>
              <w:fldChar w:fldCharType="separate"/>
            </w:r>
            <w:r w:rsidR="00E8057F">
              <w:rPr>
                <w:noProof/>
                <w:webHidden/>
              </w:rPr>
              <w:t>12</w:t>
            </w:r>
            <w:r w:rsidR="00E8057F">
              <w:rPr>
                <w:noProof/>
                <w:webHidden/>
              </w:rPr>
              <w:fldChar w:fldCharType="end"/>
            </w:r>
          </w:hyperlink>
        </w:p>
        <w:p w14:paraId="301B35B8" w14:textId="77777777" w:rsidR="00E8057F" w:rsidRDefault="00B26DA6">
          <w:pPr>
            <w:pStyle w:val="TDC2"/>
            <w:tabs>
              <w:tab w:val="left" w:pos="880"/>
              <w:tab w:val="right" w:leader="dot" w:pos="8828"/>
            </w:tabs>
            <w:rPr>
              <w:noProof/>
            </w:rPr>
          </w:pPr>
          <w:hyperlink w:anchor="_Toc18351782" w:history="1">
            <w:r w:rsidR="00E8057F" w:rsidRPr="007235D2">
              <w:rPr>
                <w:rStyle w:val="Hipervnculo"/>
                <w:noProof/>
              </w:rPr>
              <w:t>6.5.</w:t>
            </w:r>
            <w:r w:rsidR="00E8057F">
              <w:rPr>
                <w:noProof/>
              </w:rPr>
              <w:tab/>
            </w:r>
            <w:r w:rsidR="00E8057F" w:rsidRPr="007235D2">
              <w:rPr>
                <w:rStyle w:val="Hipervnculo"/>
                <w:noProof/>
              </w:rPr>
              <w:t>Medio ambiente</w:t>
            </w:r>
            <w:r w:rsidR="00E8057F">
              <w:rPr>
                <w:noProof/>
                <w:webHidden/>
              </w:rPr>
              <w:tab/>
            </w:r>
            <w:r w:rsidR="00E8057F">
              <w:rPr>
                <w:noProof/>
                <w:webHidden/>
              </w:rPr>
              <w:fldChar w:fldCharType="begin"/>
            </w:r>
            <w:r w:rsidR="00E8057F">
              <w:rPr>
                <w:noProof/>
                <w:webHidden/>
              </w:rPr>
              <w:instrText xml:space="preserve"> PAGEREF _Toc18351782 \h </w:instrText>
            </w:r>
            <w:r w:rsidR="00E8057F">
              <w:rPr>
                <w:noProof/>
                <w:webHidden/>
              </w:rPr>
            </w:r>
            <w:r w:rsidR="00E8057F">
              <w:rPr>
                <w:noProof/>
                <w:webHidden/>
              </w:rPr>
              <w:fldChar w:fldCharType="separate"/>
            </w:r>
            <w:r w:rsidR="00E8057F">
              <w:rPr>
                <w:noProof/>
                <w:webHidden/>
              </w:rPr>
              <w:t>13</w:t>
            </w:r>
            <w:r w:rsidR="00E8057F">
              <w:rPr>
                <w:noProof/>
                <w:webHidden/>
              </w:rPr>
              <w:fldChar w:fldCharType="end"/>
            </w:r>
          </w:hyperlink>
        </w:p>
        <w:p w14:paraId="1EE8A717" w14:textId="77777777" w:rsidR="00E8057F" w:rsidRDefault="00B26DA6">
          <w:pPr>
            <w:pStyle w:val="TDC2"/>
            <w:tabs>
              <w:tab w:val="left" w:pos="880"/>
              <w:tab w:val="right" w:leader="dot" w:pos="8828"/>
            </w:tabs>
            <w:rPr>
              <w:noProof/>
            </w:rPr>
          </w:pPr>
          <w:hyperlink w:anchor="_Toc18351783" w:history="1">
            <w:r w:rsidR="00E8057F" w:rsidRPr="007235D2">
              <w:rPr>
                <w:rStyle w:val="Hipervnculo"/>
                <w:noProof/>
              </w:rPr>
              <w:t>6.6.</w:t>
            </w:r>
            <w:r w:rsidR="00E8057F">
              <w:rPr>
                <w:noProof/>
              </w:rPr>
              <w:tab/>
            </w:r>
            <w:r w:rsidR="00E8057F" w:rsidRPr="007235D2">
              <w:rPr>
                <w:rStyle w:val="Hipervnculo"/>
                <w:noProof/>
              </w:rPr>
              <w:t>Prácticas justas de operación</w:t>
            </w:r>
            <w:r w:rsidR="00E8057F">
              <w:rPr>
                <w:noProof/>
                <w:webHidden/>
              </w:rPr>
              <w:tab/>
            </w:r>
            <w:r w:rsidR="00E8057F">
              <w:rPr>
                <w:noProof/>
                <w:webHidden/>
              </w:rPr>
              <w:fldChar w:fldCharType="begin"/>
            </w:r>
            <w:r w:rsidR="00E8057F">
              <w:rPr>
                <w:noProof/>
                <w:webHidden/>
              </w:rPr>
              <w:instrText xml:space="preserve"> PAGEREF _Toc18351783 \h </w:instrText>
            </w:r>
            <w:r w:rsidR="00E8057F">
              <w:rPr>
                <w:noProof/>
                <w:webHidden/>
              </w:rPr>
            </w:r>
            <w:r w:rsidR="00E8057F">
              <w:rPr>
                <w:noProof/>
                <w:webHidden/>
              </w:rPr>
              <w:fldChar w:fldCharType="separate"/>
            </w:r>
            <w:r w:rsidR="00E8057F">
              <w:rPr>
                <w:noProof/>
                <w:webHidden/>
              </w:rPr>
              <w:t>13</w:t>
            </w:r>
            <w:r w:rsidR="00E8057F">
              <w:rPr>
                <w:noProof/>
                <w:webHidden/>
              </w:rPr>
              <w:fldChar w:fldCharType="end"/>
            </w:r>
          </w:hyperlink>
        </w:p>
        <w:p w14:paraId="5E5EEFA0" w14:textId="77777777" w:rsidR="00E8057F" w:rsidRDefault="00B26DA6">
          <w:pPr>
            <w:pStyle w:val="TDC2"/>
            <w:tabs>
              <w:tab w:val="left" w:pos="880"/>
              <w:tab w:val="right" w:leader="dot" w:pos="8828"/>
            </w:tabs>
            <w:rPr>
              <w:noProof/>
            </w:rPr>
          </w:pPr>
          <w:hyperlink w:anchor="_Toc18351784" w:history="1">
            <w:r w:rsidR="00E8057F" w:rsidRPr="007235D2">
              <w:rPr>
                <w:rStyle w:val="Hipervnculo"/>
                <w:noProof/>
              </w:rPr>
              <w:t>6.7.</w:t>
            </w:r>
            <w:r w:rsidR="00E8057F">
              <w:rPr>
                <w:noProof/>
              </w:rPr>
              <w:tab/>
            </w:r>
            <w:r w:rsidR="00E8057F" w:rsidRPr="007235D2">
              <w:rPr>
                <w:rStyle w:val="Hipervnculo"/>
                <w:noProof/>
              </w:rPr>
              <w:t>Atención y servicio a la ciudadanía</w:t>
            </w:r>
            <w:r w:rsidR="00E8057F">
              <w:rPr>
                <w:noProof/>
                <w:webHidden/>
              </w:rPr>
              <w:tab/>
            </w:r>
            <w:r w:rsidR="00E8057F">
              <w:rPr>
                <w:noProof/>
                <w:webHidden/>
              </w:rPr>
              <w:fldChar w:fldCharType="begin"/>
            </w:r>
            <w:r w:rsidR="00E8057F">
              <w:rPr>
                <w:noProof/>
                <w:webHidden/>
              </w:rPr>
              <w:instrText xml:space="preserve"> PAGEREF _Toc18351784 \h </w:instrText>
            </w:r>
            <w:r w:rsidR="00E8057F">
              <w:rPr>
                <w:noProof/>
                <w:webHidden/>
              </w:rPr>
            </w:r>
            <w:r w:rsidR="00E8057F">
              <w:rPr>
                <w:noProof/>
                <w:webHidden/>
              </w:rPr>
              <w:fldChar w:fldCharType="separate"/>
            </w:r>
            <w:r w:rsidR="00E8057F">
              <w:rPr>
                <w:noProof/>
                <w:webHidden/>
              </w:rPr>
              <w:t>14</w:t>
            </w:r>
            <w:r w:rsidR="00E8057F">
              <w:rPr>
                <w:noProof/>
                <w:webHidden/>
              </w:rPr>
              <w:fldChar w:fldCharType="end"/>
            </w:r>
          </w:hyperlink>
        </w:p>
        <w:p w14:paraId="240FE1B0" w14:textId="7B1BB7E5" w:rsidR="00E8057F" w:rsidRDefault="00E8057F">
          <w:r>
            <w:rPr>
              <w:b/>
              <w:bCs/>
            </w:rPr>
            <w:fldChar w:fldCharType="end"/>
          </w:r>
        </w:p>
      </w:sdtContent>
    </w:sdt>
    <w:p w14:paraId="7B62CA72" w14:textId="7199593E" w:rsidR="0003678A" w:rsidRDefault="0003678A">
      <w:pPr>
        <w:rPr>
          <w:b/>
        </w:rPr>
      </w:pPr>
      <w:r>
        <w:rPr>
          <w:b/>
        </w:rPr>
        <w:br w:type="page"/>
      </w:r>
    </w:p>
    <w:p w14:paraId="50A72099" w14:textId="77777777" w:rsidR="00E8057F" w:rsidRPr="00E8057F" w:rsidRDefault="00E8057F">
      <w:pPr>
        <w:rPr>
          <w:b/>
        </w:rPr>
      </w:pPr>
    </w:p>
    <w:p w14:paraId="08FBA9B4" w14:textId="2FB6302C" w:rsidR="00593AE9" w:rsidRPr="00E8057F" w:rsidRDefault="006B6440" w:rsidP="001F45F2">
      <w:pPr>
        <w:pStyle w:val="Ttulo2"/>
        <w:rPr>
          <w:rFonts w:asciiTheme="minorHAnsi" w:hAnsiTheme="minorHAnsi"/>
          <w:sz w:val="22"/>
          <w:szCs w:val="22"/>
        </w:rPr>
      </w:pPr>
      <w:bookmarkStart w:id="0" w:name="_Toc18351771"/>
      <w:r w:rsidRPr="00E8057F">
        <w:rPr>
          <w:rFonts w:asciiTheme="minorHAnsi" w:hAnsiTheme="minorHAnsi"/>
          <w:sz w:val="22"/>
          <w:szCs w:val="22"/>
        </w:rPr>
        <w:t>PRESENTACIÓN</w:t>
      </w:r>
      <w:bookmarkEnd w:id="0"/>
    </w:p>
    <w:p w14:paraId="176D4CDD" w14:textId="77777777" w:rsidR="006B6440" w:rsidRPr="00E8057F" w:rsidRDefault="006B6440" w:rsidP="000051B0">
      <w:pPr>
        <w:jc w:val="both"/>
      </w:pPr>
    </w:p>
    <w:p w14:paraId="39AA1072" w14:textId="1FD00936" w:rsidR="00D637FD" w:rsidRPr="00E8057F" w:rsidRDefault="00D637FD" w:rsidP="000051B0">
      <w:pPr>
        <w:jc w:val="both"/>
      </w:pPr>
      <w:r w:rsidRPr="00E8057F">
        <w:t>La responsabilidad social en la UAESP</w:t>
      </w:r>
      <w:r w:rsidR="005C2AC2" w:rsidRPr="00E8057F">
        <w:t xml:space="preserve"> </w:t>
      </w:r>
      <w:r w:rsidR="00284E50">
        <w:t>está basad</w:t>
      </w:r>
      <w:r w:rsidR="00D16589">
        <w:t>a</w:t>
      </w:r>
      <w:r w:rsidR="00284E50">
        <w:t xml:space="preserve"> en lo establecido en la norma </w:t>
      </w:r>
      <w:r w:rsidR="005C2AC2" w:rsidRPr="00E8057F">
        <w:t>ISO 26000,</w:t>
      </w:r>
      <w:r w:rsidRPr="00E8057F">
        <w:t xml:space="preserve"> </w:t>
      </w:r>
      <w:r w:rsidR="00D16589">
        <w:t xml:space="preserve">y </w:t>
      </w:r>
      <w:r w:rsidR="00F73573" w:rsidRPr="00E8057F">
        <w:t>contribuye a fortalecer los lazos de confianza con sus grupos de interés</w:t>
      </w:r>
      <w:r w:rsidR="00D27F79" w:rsidRPr="00E8057F">
        <w:t xml:space="preserve"> y agentes implicados</w:t>
      </w:r>
      <w:r w:rsidR="006E5A02" w:rsidRPr="00E8057F">
        <w:rPr>
          <w:rStyle w:val="Refdenotaalpie"/>
        </w:rPr>
        <w:footnoteReference w:id="1"/>
      </w:r>
      <w:r w:rsidR="00F73573" w:rsidRPr="00E8057F">
        <w:t xml:space="preserve"> como garante de servicios</w:t>
      </w:r>
      <w:r w:rsidR="00D16589">
        <w:t xml:space="preserve">. Esta responsabilidad </w:t>
      </w:r>
      <w:r w:rsidR="00F73573" w:rsidRPr="00E8057F">
        <w:t>incluye la participación ciudadana en la gestión pública</w:t>
      </w:r>
      <w:r w:rsidR="00797879" w:rsidRPr="00E8057F">
        <w:t>,</w:t>
      </w:r>
      <w:r w:rsidR="00F73573" w:rsidRPr="00E8057F">
        <w:t xml:space="preserve"> legitimando espacios de corresponsabilidad que territorialmente han permitido superar las barreras de comunicación y que, redundan en una mayor garantía de derechos, reconociendo la diversidad e igualdad </w:t>
      </w:r>
      <w:r w:rsidR="005C2AC2" w:rsidRPr="00E8057F">
        <w:t>d</w:t>
      </w:r>
      <w:r w:rsidR="00F73573" w:rsidRPr="00E8057F">
        <w:t>e oportunidades</w:t>
      </w:r>
      <w:r w:rsidR="00063298" w:rsidRPr="00E8057F">
        <w:t>; así como, el posicionamiento institucional y la sostenibilidad en los modelos de prestación de los servicios de aseo, servicios funerarios y alumbrado público</w:t>
      </w:r>
      <w:r w:rsidR="0042243F" w:rsidRPr="00E8057F">
        <w:t>.</w:t>
      </w:r>
    </w:p>
    <w:p w14:paraId="4C45A5C7" w14:textId="6BDFB690" w:rsidR="00F00ABF" w:rsidRPr="00E8057F" w:rsidRDefault="00F00ABF" w:rsidP="000051B0">
      <w:pPr>
        <w:jc w:val="both"/>
      </w:pPr>
      <w:r w:rsidRPr="00E8057F">
        <w:t>Es en este contexto que, la Unidad ha adelantado acciones encami</w:t>
      </w:r>
      <w:r w:rsidR="0030048F" w:rsidRPr="00E8057F">
        <w:t>na</w:t>
      </w:r>
      <w:r w:rsidRPr="00E8057F">
        <w:t xml:space="preserve">das a </w:t>
      </w:r>
      <w:r w:rsidR="0030048F" w:rsidRPr="00E8057F">
        <w:t>mejorar sus activos intangibles que orienten la sostenibilidad de sus procesos al interior y exterior, tales como la adopción del Código de Integridad, la transparencia en sus procesos de gestión, brindando igual</w:t>
      </w:r>
      <w:r w:rsidR="006E5A02" w:rsidRPr="00E8057F">
        <w:t>dad</w:t>
      </w:r>
      <w:r w:rsidR="0030048F" w:rsidRPr="00E8057F">
        <w:t xml:space="preserve"> de oportunidades en la participación de los procesos de contratación y garantizando el acceso a la información a todos los grupos de interés.</w:t>
      </w:r>
    </w:p>
    <w:p w14:paraId="26F59E42" w14:textId="2CC59871" w:rsidR="00F00ABF" w:rsidRPr="00E8057F" w:rsidRDefault="0030048F" w:rsidP="000051B0">
      <w:pPr>
        <w:jc w:val="both"/>
      </w:pPr>
      <w:r w:rsidRPr="00E8057F">
        <w:t xml:space="preserve">En este documento se desarrolla el concepto de Responsabilidad Social para la UAESP, el marco </w:t>
      </w:r>
      <w:r w:rsidR="00D27F79" w:rsidRPr="00E8057F">
        <w:t>de referencia</w:t>
      </w:r>
      <w:r w:rsidRPr="00E8057F">
        <w:t xml:space="preserve"> que l</w:t>
      </w:r>
      <w:r w:rsidR="00D16589">
        <w:t>e</w:t>
      </w:r>
      <w:r w:rsidRPr="00E8057F">
        <w:t xml:space="preserve"> </w:t>
      </w:r>
      <w:r w:rsidR="00D27F79" w:rsidRPr="00E8057F">
        <w:t>aplica</w:t>
      </w:r>
      <w:r w:rsidRPr="00E8057F">
        <w:t xml:space="preserve"> y describe en términos generales las acciones que realiza a partir de los roles definidos que le competen, bajo los criterios del Banco Mundial, donde participa en el cumplimiento de los </w:t>
      </w:r>
      <w:r w:rsidR="00D16589">
        <w:t>O</w:t>
      </w:r>
      <w:r w:rsidRPr="00E8057F">
        <w:t xml:space="preserve">bjetivos de </w:t>
      </w:r>
      <w:r w:rsidR="00D16589">
        <w:t>D</w:t>
      </w:r>
      <w:r w:rsidRPr="00E8057F">
        <w:t xml:space="preserve">esarrollo </w:t>
      </w:r>
      <w:r w:rsidR="00D16589">
        <w:t>S</w:t>
      </w:r>
      <w:r w:rsidRPr="00E8057F">
        <w:t>ostenible</w:t>
      </w:r>
      <w:r w:rsidR="00D16589">
        <w:t xml:space="preserve"> (ODS) </w:t>
      </w:r>
      <w:r w:rsidRPr="00E8057F">
        <w:t xml:space="preserve"> y en las materias fundamentales </w:t>
      </w:r>
      <w:r w:rsidR="00211E54" w:rsidRPr="00E8057F">
        <w:t>abordadas por la ISO 26000.</w:t>
      </w:r>
    </w:p>
    <w:p w14:paraId="183825D6" w14:textId="78ACF6E8" w:rsidR="00E659AE" w:rsidRPr="00E8057F" w:rsidRDefault="00E659AE" w:rsidP="00E659AE">
      <w:pPr>
        <w:jc w:val="both"/>
      </w:pPr>
      <w:bookmarkStart w:id="1" w:name="_Hlk15908088"/>
      <w:r w:rsidRPr="00E8057F">
        <w:t>Adicionalmente, la Unidad Administrativa Especial de Servicios Públicos enmarca la responsabilidad social, como el compromiso que ha adquirido en el desarrollo y ejecución de actividades y obligaciones que favorezcan el desarrollo sostenible y sustentable, procurando la justicia social y una mejor calidad de vida para los diferentes grupos de interés, tanto internos como externos</w:t>
      </w:r>
      <w:bookmarkEnd w:id="1"/>
      <w:r w:rsidRPr="00E8057F">
        <w:t>.</w:t>
      </w:r>
    </w:p>
    <w:p w14:paraId="09375C95" w14:textId="77777777" w:rsidR="00E659AE" w:rsidRPr="00E8057F" w:rsidRDefault="00E659AE" w:rsidP="000051B0">
      <w:pPr>
        <w:jc w:val="both"/>
      </w:pPr>
    </w:p>
    <w:p w14:paraId="37C51116" w14:textId="15A114EF" w:rsidR="00593AE9" w:rsidRPr="00E8057F" w:rsidRDefault="00593AE9" w:rsidP="00E659AE">
      <w:pPr>
        <w:jc w:val="right"/>
      </w:pPr>
      <w:r w:rsidRPr="00E8057F">
        <w:t>Palabras clave: Responsabilidad social, regulador, facilitador, generador de alianzas, promotor</w:t>
      </w:r>
      <w:r w:rsidR="00501F1A" w:rsidRPr="00E8057F">
        <w:t>, objetivos de desarrollo sostenible, materias fundamentales.</w:t>
      </w:r>
    </w:p>
    <w:p w14:paraId="5FACDDF4" w14:textId="77777777" w:rsidR="000B0530" w:rsidRDefault="000B0530" w:rsidP="00E659AE">
      <w:pPr>
        <w:jc w:val="right"/>
      </w:pPr>
    </w:p>
    <w:p w14:paraId="1C73855A" w14:textId="77777777" w:rsidR="004212FD" w:rsidRPr="00E8057F" w:rsidRDefault="004212FD" w:rsidP="00E659AE">
      <w:pPr>
        <w:jc w:val="right"/>
      </w:pPr>
    </w:p>
    <w:p w14:paraId="4FB44E5E" w14:textId="77777777" w:rsidR="005C2AC2" w:rsidRPr="00E8057F" w:rsidRDefault="00593AE9" w:rsidP="001F45F2">
      <w:pPr>
        <w:pStyle w:val="Ttulo2"/>
        <w:numPr>
          <w:ilvl w:val="0"/>
          <w:numId w:val="26"/>
        </w:numPr>
        <w:rPr>
          <w:rFonts w:asciiTheme="minorHAnsi" w:hAnsiTheme="minorHAnsi"/>
          <w:sz w:val="22"/>
          <w:szCs w:val="22"/>
        </w:rPr>
      </w:pPr>
      <w:bookmarkStart w:id="2" w:name="_Toc18351772"/>
      <w:r w:rsidRPr="00E8057F">
        <w:rPr>
          <w:rFonts w:asciiTheme="minorHAnsi" w:hAnsiTheme="minorHAnsi"/>
          <w:sz w:val="22"/>
          <w:szCs w:val="22"/>
        </w:rPr>
        <w:lastRenderedPageBreak/>
        <w:t>Definición de Responsabilidad Social para la UAESP</w:t>
      </w:r>
      <w:r w:rsidR="00CE121D" w:rsidRPr="00E8057F">
        <w:rPr>
          <w:rStyle w:val="Refdenotaalpie"/>
          <w:rFonts w:asciiTheme="minorHAnsi" w:hAnsiTheme="minorHAnsi"/>
          <w:sz w:val="22"/>
          <w:szCs w:val="22"/>
        </w:rPr>
        <w:footnoteReference w:id="2"/>
      </w:r>
      <w:bookmarkEnd w:id="2"/>
      <w:r w:rsidR="00F32D34" w:rsidRPr="00E8057F">
        <w:rPr>
          <w:rFonts w:asciiTheme="minorHAnsi" w:hAnsiTheme="minorHAnsi"/>
          <w:sz w:val="22"/>
          <w:szCs w:val="22"/>
        </w:rPr>
        <w:t xml:space="preserve"> </w:t>
      </w:r>
    </w:p>
    <w:p w14:paraId="5826C660" w14:textId="77777777" w:rsidR="005C2AC2" w:rsidRPr="00E8057F" w:rsidRDefault="005C2AC2" w:rsidP="005C2AC2">
      <w:pPr>
        <w:pStyle w:val="Prrafodelista"/>
        <w:ind w:left="360"/>
        <w:jc w:val="both"/>
        <w:rPr>
          <w:color w:val="FF0000"/>
        </w:rPr>
      </w:pPr>
    </w:p>
    <w:p w14:paraId="7B3D5113" w14:textId="4E2D0AD1" w:rsidR="002B5797" w:rsidRPr="00E8057F" w:rsidRDefault="002B5797" w:rsidP="002B5797">
      <w:pPr>
        <w:jc w:val="both"/>
      </w:pPr>
      <w:r w:rsidRPr="00E8057F">
        <w:t>La Responsabilidad Social para la Unidad Administrativa Especial de Servicios Públicos-UAESP</w:t>
      </w:r>
      <w:r w:rsidR="00D16589">
        <w:t>-</w:t>
      </w:r>
      <w:r w:rsidRPr="00E8057F">
        <w:t xml:space="preserve">, es la de garantizar la prestación de los servicios a su cargo, </w:t>
      </w:r>
      <w:r w:rsidR="00AE1CA5">
        <w:t xml:space="preserve">orientando sus operaciones y acciones hacia una gestión integradora </w:t>
      </w:r>
      <w:r w:rsidRPr="00E8057F">
        <w:t>bajo la premisa de proteger</w:t>
      </w:r>
      <w:r w:rsidR="00AE1CA5">
        <w:t xml:space="preserve">, </w:t>
      </w:r>
      <w:r w:rsidR="002407D0" w:rsidRPr="00E8057F">
        <w:t>promover</w:t>
      </w:r>
      <w:r w:rsidR="00AE1CA5">
        <w:t xml:space="preserve"> y contribuir</w:t>
      </w:r>
      <w:r w:rsidR="008A157D">
        <w:t xml:space="preserve"> </w:t>
      </w:r>
      <w:r w:rsidR="00AE1CA5">
        <w:t>al desarrollo y mejora del</w:t>
      </w:r>
      <w:r w:rsidR="002407D0" w:rsidRPr="00E8057F">
        <w:t xml:space="preserve"> </w:t>
      </w:r>
      <w:r w:rsidRPr="00E8057F">
        <w:t xml:space="preserve">ambiente </w:t>
      </w:r>
      <w:r w:rsidR="002407D0" w:rsidRPr="00E8057F">
        <w:t xml:space="preserve">y contribuir a </w:t>
      </w:r>
      <w:r w:rsidRPr="00E8057F">
        <w:t xml:space="preserve">mejorar la calidad de vida de los </w:t>
      </w:r>
      <w:r w:rsidR="002407D0" w:rsidRPr="00E8057F">
        <w:t>ciudadanos</w:t>
      </w:r>
      <w:r w:rsidR="008A157D">
        <w:t xml:space="preserve"> y</w:t>
      </w:r>
      <w:r w:rsidR="00AE1CA5">
        <w:t xml:space="preserve"> sus trabajadores</w:t>
      </w:r>
      <w:r w:rsidR="008A157D">
        <w:t xml:space="preserve"> </w:t>
      </w:r>
      <w:r w:rsidR="002407D0" w:rsidRPr="00E8057F">
        <w:t xml:space="preserve">en Bogotá D.C. </w:t>
      </w:r>
      <w:r w:rsidRPr="00E8057F">
        <w:t>en los ámbitos social, ambiental y económico</w:t>
      </w:r>
      <w:r w:rsidR="002407D0" w:rsidRPr="00E8057F">
        <w:t>.</w:t>
      </w:r>
    </w:p>
    <w:p w14:paraId="7E067A85" w14:textId="77777777" w:rsidR="006B0A7B" w:rsidRPr="00E8057F" w:rsidRDefault="006B0A7B" w:rsidP="002B5797">
      <w:pPr>
        <w:jc w:val="both"/>
      </w:pPr>
    </w:p>
    <w:p w14:paraId="575ABDD9" w14:textId="4E9212F1" w:rsidR="00593AE9" w:rsidRPr="00E8057F" w:rsidRDefault="00593AE9" w:rsidP="001F45F2">
      <w:pPr>
        <w:pStyle w:val="Ttulo2"/>
        <w:numPr>
          <w:ilvl w:val="0"/>
          <w:numId w:val="26"/>
        </w:numPr>
        <w:rPr>
          <w:rFonts w:asciiTheme="minorHAnsi" w:hAnsiTheme="minorHAnsi"/>
          <w:sz w:val="22"/>
          <w:szCs w:val="22"/>
        </w:rPr>
      </w:pPr>
      <w:bookmarkStart w:id="3" w:name="_Toc18351773"/>
      <w:r w:rsidRPr="00E8057F">
        <w:rPr>
          <w:rFonts w:asciiTheme="minorHAnsi" w:hAnsiTheme="minorHAnsi"/>
          <w:sz w:val="22"/>
          <w:szCs w:val="22"/>
        </w:rPr>
        <w:t xml:space="preserve">Marco </w:t>
      </w:r>
      <w:r w:rsidR="00CE121D" w:rsidRPr="00E8057F">
        <w:rPr>
          <w:rFonts w:asciiTheme="minorHAnsi" w:hAnsiTheme="minorHAnsi"/>
          <w:sz w:val="22"/>
          <w:szCs w:val="22"/>
        </w:rPr>
        <w:t>de Referencia</w:t>
      </w:r>
      <w:bookmarkEnd w:id="3"/>
    </w:p>
    <w:p w14:paraId="54ED7C98" w14:textId="77777777" w:rsidR="00474BE0" w:rsidRPr="00E8057F" w:rsidRDefault="00474BE0" w:rsidP="00474BE0">
      <w:pPr>
        <w:pStyle w:val="Prrafodelista"/>
        <w:ind w:left="360"/>
      </w:pPr>
    </w:p>
    <w:p w14:paraId="43BDC33A" w14:textId="77777777" w:rsidR="00DF1628" w:rsidRPr="00E8057F" w:rsidRDefault="00795B51" w:rsidP="00BC5828">
      <w:pPr>
        <w:pStyle w:val="Prrafodelista"/>
        <w:numPr>
          <w:ilvl w:val="0"/>
          <w:numId w:val="16"/>
        </w:numPr>
        <w:jc w:val="both"/>
        <w:rPr>
          <w:rFonts w:cs="MinionPro-Regular"/>
        </w:rPr>
      </w:pPr>
      <w:r w:rsidRPr="00E8057F">
        <w:rPr>
          <w:rFonts w:cs="MinionPro-Regular"/>
        </w:rPr>
        <w:t>Pacto Mundial de las Naciones Unidas</w:t>
      </w:r>
      <w:r w:rsidR="00C74902" w:rsidRPr="00E8057F">
        <w:rPr>
          <w:rStyle w:val="Refdenotaalpie"/>
          <w:rFonts w:cs="MinionPro-Regular"/>
          <w:i/>
        </w:rPr>
        <w:footnoteReference w:id="3"/>
      </w:r>
      <w:r w:rsidR="004C3EB0" w:rsidRPr="00E8057F">
        <w:rPr>
          <w:rFonts w:cs="MinionPro-Regular"/>
        </w:rPr>
        <w:t>,</w:t>
      </w:r>
      <w:r w:rsidRPr="00E8057F">
        <w:rPr>
          <w:rFonts w:cs="MinionPro-Regular"/>
        </w:rPr>
        <w:t xml:space="preserve"> </w:t>
      </w:r>
      <w:r w:rsidR="004C3EB0" w:rsidRPr="00E8057F">
        <w:rPr>
          <w:rFonts w:cs="MinionPro-Regular"/>
        </w:rPr>
        <w:t>j</w:t>
      </w:r>
      <w:r w:rsidRPr="00E8057F">
        <w:rPr>
          <w:rFonts w:cs="MinionPro-Regular"/>
        </w:rPr>
        <w:t xml:space="preserve">ulio 2000: Es una </w:t>
      </w:r>
      <w:r w:rsidRPr="00E8057F">
        <w:rPr>
          <w:rFonts w:cs="MinionPro-Regular"/>
          <w:i/>
        </w:rPr>
        <w:t>“iniciativa voluntaria basada en la rendición pública de cuentas, la transparencia y la divulgación de información destinada a complementar la regulación y ofrecer un espacio para la innovación.”</w:t>
      </w:r>
      <w:r w:rsidRPr="00E8057F">
        <w:rPr>
          <w:rFonts w:cs="MinionPro-Regular"/>
        </w:rPr>
        <w:t xml:space="preserve"> es una “</w:t>
      </w:r>
      <w:r w:rsidRPr="00E8057F">
        <w:rPr>
          <w:rFonts w:cs="MinionPro-Regular"/>
          <w:i/>
        </w:rPr>
        <w:t>plataforma política y un marco práctico para las empresas comprometidas con la sostenibilidad y las prácticas empresariales responsables.”</w:t>
      </w:r>
    </w:p>
    <w:p w14:paraId="61F7619C" w14:textId="77777777" w:rsidR="00BC5828" w:rsidRPr="00E8057F" w:rsidRDefault="00BC5828" w:rsidP="00BC5828">
      <w:pPr>
        <w:pStyle w:val="Prrafodelista"/>
        <w:jc w:val="both"/>
        <w:rPr>
          <w:rFonts w:cs="MinionPro-Regular"/>
        </w:rPr>
      </w:pPr>
    </w:p>
    <w:p w14:paraId="6A6879D5" w14:textId="77777777" w:rsidR="00742FAE" w:rsidRPr="00E8057F" w:rsidRDefault="00DF1628" w:rsidP="00BC5828">
      <w:pPr>
        <w:pStyle w:val="Prrafodelista"/>
        <w:numPr>
          <w:ilvl w:val="0"/>
          <w:numId w:val="16"/>
        </w:numPr>
        <w:autoSpaceDE w:val="0"/>
        <w:autoSpaceDN w:val="0"/>
        <w:adjustRightInd w:val="0"/>
        <w:spacing w:after="0" w:line="240" w:lineRule="auto"/>
        <w:jc w:val="both"/>
        <w:rPr>
          <w:rFonts w:cs="MinionPro-Regular"/>
        </w:rPr>
      </w:pPr>
      <w:r w:rsidRPr="00E8057F">
        <w:rPr>
          <w:rFonts w:cs="MinionPro-Regular"/>
        </w:rPr>
        <w:t>Comisión de las Comunidades Europeas. (2001). LIBRO VERDE. Fomentar un marco europeo para la responsabilidad social de las</w:t>
      </w:r>
      <w:r w:rsidR="00742FAE" w:rsidRPr="00E8057F">
        <w:rPr>
          <w:rFonts w:cs="MinionPro-Regular"/>
        </w:rPr>
        <w:t xml:space="preserve"> </w:t>
      </w:r>
      <w:r w:rsidRPr="00E8057F">
        <w:rPr>
          <w:rFonts w:cs="MinionPro-Regular"/>
        </w:rPr>
        <w:t>empresas</w:t>
      </w:r>
      <w:r w:rsidR="00C74902" w:rsidRPr="00E8057F">
        <w:rPr>
          <w:rStyle w:val="Refdenotaalpie"/>
          <w:rFonts w:cs="MinionPro-Regular"/>
        </w:rPr>
        <w:footnoteReference w:id="4"/>
      </w:r>
      <w:r w:rsidRPr="00E8057F">
        <w:rPr>
          <w:rFonts w:cs="MinionPro-Regular"/>
        </w:rPr>
        <w:t>.</w:t>
      </w:r>
    </w:p>
    <w:p w14:paraId="4516CA41" w14:textId="77777777" w:rsidR="00BC5828" w:rsidRPr="00E8057F" w:rsidRDefault="00BC5828" w:rsidP="00BC5828">
      <w:pPr>
        <w:autoSpaceDE w:val="0"/>
        <w:autoSpaceDN w:val="0"/>
        <w:adjustRightInd w:val="0"/>
        <w:spacing w:after="0" w:line="240" w:lineRule="auto"/>
        <w:jc w:val="both"/>
        <w:rPr>
          <w:rFonts w:cs="MinionPro-Regular"/>
        </w:rPr>
      </w:pPr>
    </w:p>
    <w:p w14:paraId="1659EC58" w14:textId="77777777" w:rsidR="00BC5828" w:rsidRPr="00E8057F" w:rsidRDefault="00BC5828" w:rsidP="00BC5828">
      <w:pPr>
        <w:pStyle w:val="Prrafodelista"/>
        <w:numPr>
          <w:ilvl w:val="0"/>
          <w:numId w:val="16"/>
        </w:numPr>
        <w:jc w:val="both"/>
        <w:rPr>
          <w:rFonts w:cs="MinionPro-Regular"/>
        </w:rPr>
      </w:pPr>
      <w:r w:rsidRPr="00E8057F">
        <w:rPr>
          <w:rFonts w:cs="MinionPro-Regular"/>
        </w:rPr>
        <w:t>Guía del Pacto Mundial para Gobiernos Locales</w:t>
      </w:r>
      <w:r w:rsidRPr="00E8057F">
        <w:rPr>
          <w:rStyle w:val="Refdenotaalpie"/>
          <w:rFonts w:cs="MinionPro-Regular"/>
        </w:rPr>
        <w:footnoteReference w:id="5"/>
      </w:r>
      <w:r w:rsidRPr="00E8057F">
        <w:rPr>
          <w:rFonts w:cs="MinionPro-Regular"/>
        </w:rPr>
        <w:t>. (2011). Centro Regional de Apoyo para América Latina y el Caribe.</w:t>
      </w:r>
    </w:p>
    <w:p w14:paraId="12CC9F73" w14:textId="77777777" w:rsidR="00BC5828" w:rsidRPr="00E8057F" w:rsidRDefault="00BC5828" w:rsidP="00BC5828">
      <w:pPr>
        <w:pStyle w:val="Prrafodelista"/>
        <w:rPr>
          <w:rFonts w:cs="MinionPro-Regular"/>
        </w:rPr>
      </w:pPr>
    </w:p>
    <w:p w14:paraId="4F0DAA16" w14:textId="3B55F857" w:rsidR="004C3EB0" w:rsidRPr="00E8057F" w:rsidRDefault="004C3EB0" w:rsidP="00BC5828">
      <w:pPr>
        <w:pStyle w:val="Prrafodelista"/>
        <w:numPr>
          <w:ilvl w:val="0"/>
          <w:numId w:val="16"/>
        </w:numPr>
        <w:autoSpaceDE w:val="0"/>
        <w:autoSpaceDN w:val="0"/>
        <w:adjustRightInd w:val="0"/>
        <w:spacing w:after="0" w:line="240" w:lineRule="auto"/>
        <w:jc w:val="both"/>
        <w:rPr>
          <w:rFonts w:cs="MinionPro-Regular"/>
        </w:rPr>
      </w:pPr>
      <w:r w:rsidRPr="00E8057F">
        <w:rPr>
          <w:rFonts w:cs="MinionPro-Regular"/>
        </w:rPr>
        <w:t>Objetivos de Desarrollo Sostenible</w:t>
      </w:r>
      <w:r w:rsidRPr="00E8057F">
        <w:rPr>
          <w:rStyle w:val="Refdenotaalpie"/>
          <w:rFonts w:cs="MinionPro-Regular"/>
        </w:rPr>
        <w:footnoteReference w:id="6"/>
      </w:r>
      <w:r w:rsidRPr="00E8057F">
        <w:rPr>
          <w:rFonts w:cs="MinionPro-Regular"/>
        </w:rPr>
        <w:t>, Programa de las Naciones Unidas para el Desarrollo - PNUD Colombia</w:t>
      </w:r>
      <w:r w:rsidR="00EB1C99" w:rsidRPr="00E8057F">
        <w:rPr>
          <w:rFonts w:cs="MinionPro-Regular"/>
        </w:rPr>
        <w:t>. 2016</w:t>
      </w:r>
    </w:p>
    <w:p w14:paraId="5A42E761" w14:textId="77777777" w:rsidR="004C3EB0" w:rsidRPr="00E8057F" w:rsidRDefault="004C3EB0" w:rsidP="004C3EB0">
      <w:pPr>
        <w:pStyle w:val="Prrafodelista"/>
        <w:rPr>
          <w:rFonts w:cs="MinionPro-Regular"/>
        </w:rPr>
      </w:pPr>
    </w:p>
    <w:p w14:paraId="53B368D3" w14:textId="77777777" w:rsidR="00DF1628" w:rsidRPr="00E8057F" w:rsidRDefault="00DF1628" w:rsidP="00BC5828">
      <w:pPr>
        <w:pStyle w:val="Prrafodelista"/>
        <w:numPr>
          <w:ilvl w:val="0"/>
          <w:numId w:val="16"/>
        </w:numPr>
        <w:autoSpaceDE w:val="0"/>
        <w:autoSpaceDN w:val="0"/>
        <w:adjustRightInd w:val="0"/>
        <w:spacing w:after="0" w:line="240" w:lineRule="auto"/>
        <w:jc w:val="both"/>
        <w:rPr>
          <w:rFonts w:cs="MinionPro-Regular"/>
        </w:rPr>
      </w:pPr>
      <w:r w:rsidRPr="00E8057F">
        <w:rPr>
          <w:rFonts w:cs="MinionPro-Regular"/>
        </w:rPr>
        <w:t>Instituto Colombiano de Normas Técnicas y Certificación</w:t>
      </w:r>
      <w:r w:rsidR="00C74902" w:rsidRPr="00E8057F">
        <w:rPr>
          <w:rStyle w:val="Refdenotaalpie"/>
          <w:rFonts w:cs="MinionPro-Regular"/>
        </w:rPr>
        <w:footnoteReference w:id="7"/>
      </w:r>
      <w:r w:rsidRPr="00E8057F">
        <w:rPr>
          <w:rFonts w:cs="MinionPro-Regular"/>
        </w:rPr>
        <w:t>. (ICONTEC) (2008). GUIA TECNICA COLOMBIANA GTC 180.</w:t>
      </w:r>
      <w:r w:rsidR="00742FAE" w:rsidRPr="00E8057F">
        <w:rPr>
          <w:rFonts w:cs="MinionPro-Regular"/>
        </w:rPr>
        <w:t xml:space="preserve"> </w:t>
      </w:r>
      <w:r w:rsidRPr="00E8057F">
        <w:rPr>
          <w:rFonts w:cs="MinionPro-Regular"/>
        </w:rPr>
        <w:t>Responsabilidad Social.</w:t>
      </w:r>
    </w:p>
    <w:p w14:paraId="24C958C5" w14:textId="77777777" w:rsidR="00BC5828" w:rsidRPr="00E8057F" w:rsidRDefault="00BC5828" w:rsidP="00BC5828">
      <w:pPr>
        <w:autoSpaceDE w:val="0"/>
        <w:autoSpaceDN w:val="0"/>
        <w:adjustRightInd w:val="0"/>
        <w:spacing w:after="0" w:line="240" w:lineRule="auto"/>
        <w:jc w:val="both"/>
        <w:rPr>
          <w:rFonts w:cs="MinionPro-Regular"/>
          <w:b/>
        </w:rPr>
      </w:pPr>
    </w:p>
    <w:p w14:paraId="5B5F498B" w14:textId="2D67AF8E" w:rsidR="00BC5828" w:rsidRPr="00E8057F" w:rsidRDefault="00BC5828" w:rsidP="00BC5828">
      <w:pPr>
        <w:pStyle w:val="Prrafodelista"/>
        <w:numPr>
          <w:ilvl w:val="0"/>
          <w:numId w:val="16"/>
        </w:numPr>
        <w:autoSpaceDE w:val="0"/>
        <w:autoSpaceDN w:val="0"/>
        <w:adjustRightInd w:val="0"/>
        <w:spacing w:after="0" w:line="240" w:lineRule="auto"/>
        <w:jc w:val="both"/>
        <w:rPr>
          <w:rFonts w:cs="MinionPro-Regular"/>
        </w:rPr>
      </w:pPr>
      <w:r w:rsidRPr="00E8057F">
        <w:rPr>
          <w:rFonts w:cs="MinionPro-Regular"/>
        </w:rPr>
        <w:t>Norma internacional ISO 26000</w:t>
      </w:r>
      <w:r w:rsidRPr="00E8057F">
        <w:rPr>
          <w:rStyle w:val="Refdenotaalpie"/>
          <w:rFonts w:cs="MinionPro-Regular"/>
          <w:b/>
        </w:rPr>
        <w:footnoteReference w:id="8"/>
      </w:r>
      <w:r w:rsidRPr="00E8057F">
        <w:rPr>
          <w:rFonts w:cs="MinionPro-Regular"/>
        </w:rPr>
        <w:t>. (2010). Guía de responsabilidad social. Traducción Oficial. Suiza.</w:t>
      </w:r>
    </w:p>
    <w:p w14:paraId="4A52534A" w14:textId="77777777" w:rsidR="00A936BD" w:rsidRPr="00E8057F" w:rsidRDefault="00A936BD" w:rsidP="00A936BD">
      <w:pPr>
        <w:pStyle w:val="Prrafodelista"/>
        <w:rPr>
          <w:rFonts w:cs="MinionPro-Regular"/>
        </w:rPr>
      </w:pPr>
    </w:p>
    <w:p w14:paraId="7DC6AFC7" w14:textId="7E579C2C" w:rsidR="00A936BD" w:rsidRPr="00E8057F" w:rsidRDefault="00A936BD" w:rsidP="00BC5828">
      <w:pPr>
        <w:pStyle w:val="Prrafodelista"/>
        <w:numPr>
          <w:ilvl w:val="0"/>
          <w:numId w:val="16"/>
        </w:numPr>
        <w:autoSpaceDE w:val="0"/>
        <w:autoSpaceDN w:val="0"/>
        <w:adjustRightInd w:val="0"/>
        <w:spacing w:after="0" w:line="240" w:lineRule="auto"/>
        <w:jc w:val="both"/>
        <w:rPr>
          <w:rFonts w:cs="MinionPro-Regular"/>
        </w:rPr>
      </w:pPr>
      <w:r w:rsidRPr="00E8057F">
        <w:rPr>
          <w:rFonts w:cs="MinionPro-Regular"/>
        </w:rPr>
        <w:t>Sentencia T 247 de 2010</w:t>
      </w:r>
      <w:r w:rsidRPr="00E8057F">
        <w:rPr>
          <w:rStyle w:val="Refdenotaalpie"/>
          <w:rFonts w:cs="MinionPro-Regular"/>
        </w:rPr>
        <w:footnoteReference w:id="9"/>
      </w:r>
    </w:p>
    <w:p w14:paraId="71953A60" w14:textId="77777777" w:rsidR="00BC5828" w:rsidRPr="00E8057F" w:rsidRDefault="00BC5828" w:rsidP="00BC5828">
      <w:pPr>
        <w:autoSpaceDE w:val="0"/>
        <w:autoSpaceDN w:val="0"/>
        <w:adjustRightInd w:val="0"/>
        <w:spacing w:after="0" w:line="240" w:lineRule="auto"/>
        <w:jc w:val="both"/>
        <w:rPr>
          <w:rFonts w:cs="MinionPro-Regular"/>
        </w:rPr>
      </w:pPr>
    </w:p>
    <w:p w14:paraId="2C19DF57" w14:textId="17C62AC8" w:rsidR="00501F1A" w:rsidRPr="00E8057F" w:rsidRDefault="00501F1A" w:rsidP="00F32D34">
      <w:pPr>
        <w:rPr>
          <w:color w:val="FF0000"/>
        </w:rPr>
      </w:pPr>
    </w:p>
    <w:p w14:paraId="663034D3" w14:textId="77777777" w:rsidR="00593AE9" w:rsidRDefault="00593AE9" w:rsidP="001F45F2">
      <w:pPr>
        <w:pStyle w:val="Ttulo2"/>
        <w:numPr>
          <w:ilvl w:val="0"/>
          <w:numId w:val="26"/>
        </w:numPr>
        <w:rPr>
          <w:rFonts w:asciiTheme="minorHAnsi" w:hAnsiTheme="minorHAnsi"/>
          <w:sz w:val="22"/>
          <w:szCs w:val="22"/>
        </w:rPr>
      </w:pPr>
      <w:bookmarkStart w:id="4" w:name="_Toc18351774"/>
      <w:r w:rsidRPr="00E8057F">
        <w:rPr>
          <w:rFonts w:asciiTheme="minorHAnsi" w:hAnsiTheme="minorHAnsi"/>
          <w:sz w:val="22"/>
          <w:szCs w:val="22"/>
        </w:rPr>
        <w:t>Rol de la UAESP en el marco de la responsabilidad social, a partir de los roles planteados por el Banco Mundial</w:t>
      </w:r>
      <w:bookmarkEnd w:id="4"/>
    </w:p>
    <w:p w14:paraId="61931AE7" w14:textId="77777777" w:rsidR="00220225" w:rsidRPr="00220225" w:rsidRDefault="00220225" w:rsidP="00220225"/>
    <w:tbl>
      <w:tblPr>
        <w:tblStyle w:val="Tablaconcuadrcula4-nfasis21"/>
        <w:tblW w:w="0" w:type="auto"/>
        <w:tblLook w:val="04A0" w:firstRow="1" w:lastRow="0" w:firstColumn="1" w:lastColumn="0" w:noHBand="0" w:noVBand="1"/>
      </w:tblPr>
      <w:tblGrid>
        <w:gridCol w:w="1555"/>
        <w:gridCol w:w="7273"/>
      </w:tblGrid>
      <w:tr w:rsidR="00897899" w:rsidRPr="00E8057F" w14:paraId="36C66C3C" w14:textId="77777777" w:rsidTr="000B05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gridSpan w:val="2"/>
            <w:vAlign w:val="center"/>
          </w:tcPr>
          <w:p w14:paraId="62677A29" w14:textId="77777777" w:rsidR="00897899" w:rsidRPr="00E8057F" w:rsidRDefault="00897899" w:rsidP="00897899">
            <w:pPr>
              <w:jc w:val="center"/>
            </w:pPr>
            <w:r w:rsidRPr="00E8057F">
              <w:t>ROLES DEL SECTOR PÚBLICO FRENTE A LA RESPONSABILIDAD SOCIAL – BANCO MUNDIAL</w:t>
            </w:r>
          </w:p>
        </w:tc>
      </w:tr>
      <w:tr w:rsidR="00897899" w:rsidRPr="00E8057F" w14:paraId="6C7AA9AF" w14:textId="77777777" w:rsidTr="000B05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32FE81" w14:textId="77777777" w:rsidR="00897899" w:rsidRPr="00E8057F" w:rsidRDefault="00897899" w:rsidP="00897899">
            <w:pPr>
              <w:jc w:val="center"/>
            </w:pPr>
            <w:r w:rsidRPr="00E8057F">
              <w:t>ROL</w:t>
            </w:r>
          </w:p>
        </w:tc>
        <w:tc>
          <w:tcPr>
            <w:tcW w:w="7273" w:type="dxa"/>
            <w:vAlign w:val="center"/>
          </w:tcPr>
          <w:p w14:paraId="405A8A5B" w14:textId="77777777" w:rsidR="00897899" w:rsidRPr="00E8057F" w:rsidRDefault="00897899" w:rsidP="00897899">
            <w:pPr>
              <w:jc w:val="center"/>
              <w:cnfStyle w:val="100000000000" w:firstRow="1" w:lastRow="0" w:firstColumn="0" w:lastColumn="0" w:oddVBand="0" w:evenVBand="0" w:oddHBand="0" w:evenHBand="0" w:firstRowFirstColumn="0" w:firstRowLastColumn="0" w:lastRowFirstColumn="0" w:lastRowLastColumn="0"/>
              <w:rPr>
                <w:b w:val="0"/>
              </w:rPr>
            </w:pPr>
            <w:r w:rsidRPr="00E8057F">
              <w:t>DESCRIPCIÓN</w:t>
            </w:r>
          </w:p>
        </w:tc>
      </w:tr>
      <w:tr w:rsidR="00897899" w:rsidRPr="00E8057F" w14:paraId="035331B1" w14:textId="77777777" w:rsidTr="00F3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248B62" w14:textId="77777777" w:rsidR="00897899" w:rsidRPr="00E8057F" w:rsidRDefault="00897899" w:rsidP="00897899">
            <w:r w:rsidRPr="00E8057F">
              <w:t>Facilitador</w:t>
            </w:r>
          </w:p>
        </w:tc>
        <w:tc>
          <w:tcPr>
            <w:tcW w:w="7273" w:type="dxa"/>
            <w:vAlign w:val="center"/>
          </w:tcPr>
          <w:p w14:paraId="7E043ADD" w14:textId="05CBBE46" w:rsidR="00897899" w:rsidRPr="00E8057F" w:rsidRDefault="00897899" w:rsidP="00897899">
            <w:pPr>
              <w:jc w:val="both"/>
              <w:cnfStyle w:val="000000100000" w:firstRow="0" w:lastRow="0" w:firstColumn="0" w:lastColumn="0" w:oddVBand="0" w:evenVBand="0" w:oddHBand="1" w:evenHBand="0" w:firstRowFirstColumn="0" w:firstRowLastColumn="0" w:lastRowFirstColumn="0" w:lastRowLastColumn="0"/>
            </w:pPr>
            <w:r w:rsidRPr="00E8057F">
              <w:t xml:space="preserve">El sector público puede generar condiciones en el entorno para promover el comportamiento responsable en diferentes actores. Es decir que puede desarrollar guías, sellos, códigos de aplicación en el mercado, incentivos tributarios y de reconocimientos a los negocios para invertir en RS, mandatos de transparencia, inversión en investigación, así como generar espacios donde se pueda dar un diálogo con los </w:t>
            </w:r>
            <w:r w:rsidR="00520AC8" w:rsidRPr="00E8057F">
              <w:t>grupos de interés</w:t>
            </w:r>
            <w:r w:rsidRPr="00E8057F">
              <w:t>.</w:t>
            </w:r>
          </w:p>
        </w:tc>
      </w:tr>
      <w:tr w:rsidR="00897899" w:rsidRPr="00E8057F" w14:paraId="5AC15A2E" w14:textId="77777777" w:rsidTr="00F32D34">
        <w:tc>
          <w:tcPr>
            <w:cnfStyle w:val="001000000000" w:firstRow="0" w:lastRow="0" w:firstColumn="1" w:lastColumn="0" w:oddVBand="0" w:evenVBand="0" w:oddHBand="0" w:evenHBand="0" w:firstRowFirstColumn="0" w:firstRowLastColumn="0" w:lastRowFirstColumn="0" w:lastRowLastColumn="0"/>
            <w:tcW w:w="1555" w:type="dxa"/>
            <w:vAlign w:val="center"/>
          </w:tcPr>
          <w:p w14:paraId="29A5FB17" w14:textId="77777777" w:rsidR="00897899" w:rsidRPr="00E8057F" w:rsidRDefault="00897899" w:rsidP="00897899">
            <w:r w:rsidRPr="00E8057F">
              <w:t>Generador de Alianzas</w:t>
            </w:r>
          </w:p>
        </w:tc>
        <w:tc>
          <w:tcPr>
            <w:tcW w:w="7273" w:type="dxa"/>
            <w:vAlign w:val="center"/>
          </w:tcPr>
          <w:p w14:paraId="5F9E6624" w14:textId="77777777" w:rsidR="00897899" w:rsidRPr="00E8057F" w:rsidRDefault="00897899" w:rsidP="00897899">
            <w:pPr>
              <w:jc w:val="both"/>
              <w:cnfStyle w:val="000000000000" w:firstRow="0" w:lastRow="0" w:firstColumn="0" w:lastColumn="0" w:oddVBand="0" w:evenVBand="0" w:oddHBand="0" w:evenHBand="0" w:firstRowFirstColumn="0" w:firstRowLastColumn="0" w:lastRowFirstColumn="0" w:lastRowLastColumn="0"/>
            </w:pPr>
            <w:r w:rsidRPr="00E8057F">
              <w:t>El sector público debe buscar socios para unir esfuerzos en pro de temas claves para los ciudadanos, resolviendo problemáticas sociales fundamentales. A su vez, estos ejercicios de corresponsabilidad mejoran las competencias en responsabilidad social de los diferentes actores y generan recursos diversos para asumir asuntos de la política pública.</w:t>
            </w:r>
          </w:p>
        </w:tc>
      </w:tr>
      <w:tr w:rsidR="00897899" w:rsidRPr="00E8057F" w14:paraId="517FC814" w14:textId="77777777" w:rsidTr="00F3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AD6E27" w14:textId="77777777" w:rsidR="00897899" w:rsidRPr="00E8057F" w:rsidRDefault="00897899" w:rsidP="00897899">
            <w:r w:rsidRPr="00E8057F">
              <w:t>Promotor</w:t>
            </w:r>
          </w:p>
        </w:tc>
        <w:tc>
          <w:tcPr>
            <w:tcW w:w="7273" w:type="dxa"/>
            <w:vAlign w:val="center"/>
          </w:tcPr>
          <w:p w14:paraId="0667A709" w14:textId="77777777" w:rsidR="00897899" w:rsidRPr="00E8057F" w:rsidRDefault="00897899" w:rsidP="00897899">
            <w:pPr>
              <w:jc w:val="both"/>
              <w:cnfStyle w:val="000000100000" w:firstRow="0" w:lastRow="0" w:firstColumn="0" w:lastColumn="0" w:oddVBand="0" w:evenVBand="0" w:oddHBand="1" w:evenHBand="0" w:firstRowFirstColumn="0" w:firstRowLastColumn="0" w:lastRowFirstColumn="0" w:lastRowLastColumn="0"/>
            </w:pPr>
            <w:r w:rsidRPr="00E8057F">
              <w:t>El sector público por su gran influencia puede tener un gran impacto al comunicar o difundir su compromiso con la RS, así como haciendo visibles iniciativas de responsabilidad social de otros actores. La responsabilidad social se encuentra presente de manera transversal en el rol que el gobierno asume frente a las situaciones problemáticas de la sociedad, no es un tema aislado de su accionar y está presente en el proceso de toma de decisiones; por ello al identificar su relación con las políticas actuales, puede generar consciencia sobre la relevancia del tema en la sociedad.</w:t>
            </w:r>
          </w:p>
        </w:tc>
      </w:tr>
    </w:tbl>
    <w:p w14:paraId="2E2B8FDE" w14:textId="77777777" w:rsidR="003E7F67" w:rsidRPr="0011610A" w:rsidRDefault="00F32D34" w:rsidP="00725D1C">
      <w:pPr>
        <w:pStyle w:val="Prrafodelista"/>
        <w:ind w:left="360"/>
        <w:jc w:val="both"/>
        <w:rPr>
          <w:sz w:val="18"/>
        </w:rPr>
      </w:pPr>
      <w:r w:rsidRPr="0011610A">
        <w:rPr>
          <w:sz w:val="18"/>
        </w:rPr>
        <w:t xml:space="preserve">FUENTE: </w:t>
      </w:r>
      <w:r w:rsidR="00725D1C" w:rsidRPr="0011610A">
        <w:rPr>
          <w:sz w:val="18"/>
        </w:rPr>
        <w:t>Banco mundial. Décimo quinto lineamiento – Responsabilidad Social. Sistema Integrado de Gestión Distrital. Alcaldía Mayor de Bogotá. 2015</w:t>
      </w:r>
    </w:p>
    <w:p w14:paraId="583B0101" w14:textId="77777777" w:rsidR="00725D1C" w:rsidRPr="00E8057F" w:rsidRDefault="00725D1C" w:rsidP="003E7F67">
      <w:pPr>
        <w:pStyle w:val="Prrafodelista"/>
        <w:ind w:left="360"/>
      </w:pPr>
    </w:p>
    <w:p w14:paraId="0991C085" w14:textId="2D55A4DC" w:rsidR="003E7F67" w:rsidRDefault="00720205" w:rsidP="001F45F2">
      <w:pPr>
        <w:pStyle w:val="Ttulo2"/>
        <w:numPr>
          <w:ilvl w:val="0"/>
          <w:numId w:val="26"/>
        </w:numPr>
        <w:rPr>
          <w:rFonts w:asciiTheme="minorHAnsi" w:hAnsiTheme="minorHAnsi"/>
          <w:sz w:val="22"/>
          <w:szCs w:val="22"/>
        </w:rPr>
      </w:pPr>
      <w:bookmarkStart w:id="5" w:name="_Toc18351775"/>
      <w:r w:rsidRPr="00E8057F">
        <w:rPr>
          <w:rFonts w:asciiTheme="minorHAnsi" w:hAnsiTheme="minorHAnsi"/>
          <w:sz w:val="22"/>
          <w:szCs w:val="22"/>
        </w:rPr>
        <w:t xml:space="preserve">Responsabilidad </w:t>
      </w:r>
      <w:r w:rsidR="00501F1A" w:rsidRPr="00E8057F">
        <w:rPr>
          <w:rFonts w:asciiTheme="minorHAnsi" w:hAnsiTheme="minorHAnsi"/>
          <w:sz w:val="22"/>
          <w:szCs w:val="22"/>
        </w:rPr>
        <w:t>S</w:t>
      </w:r>
      <w:r w:rsidRPr="00E8057F">
        <w:rPr>
          <w:rFonts w:asciiTheme="minorHAnsi" w:hAnsiTheme="minorHAnsi"/>
          <w:sz w:val="22"/>
          <w:szCs w:val="22"/>
        </w:rPr>
        <w:t xml:space="preserve">ocial y Objetivos de Desarrollo </w:t>
      </w:r>
      <w:r w:rsidR="00EF31E2" w:rsidRPr="00E8057F">
        <w:rPr>
          <w:rFonts w:asciiTheme="minorHAnsi" w:hAnsiTheme="minorHAnsi"/>
          <w:sz w:val="22"/>
          <w:szCs w:val="22"/>
        </w:rPr>
        <w:t>S</w:t>
      </w:r>
      <w:r w:rsidRPr="00E8057F">
        <w:rPr>
          <w:rFonts w:asciiTheme="minorHAnsi" w:hAnsiTheme="minorHAnsi"/>
          <w:sz w:val="22"/>
          <w:szCs w:val="22"/>
        </w:rPr>
        <w:t>ostenible</w:t>
      </w:r>
      <w:bookmarkEnd w:id="5"/>
    </w:p>
    <w:p w14:paraId="78076E47" w14:textId="77777777" w:rsidR="0011610A" w:rsidRPr="0011610A" w:rsidRDefault="0011610A" w:rsidP="0011610A"/>
    <w:p w14:paraId="37935E1F" w14:textId="2C4C6475" w:rsidR="00F32D34" w:rsidRPr="00E8057F" w:rsidRDefault="00F32D34" w:rsidP="00F32D34">
      <w:pPr>
        <w:jc w:val="both"/>
      </w:pPr>
      <w:r w:rsidRPr="00E8057F">
        <w:t xml:space="preserve">La UAESP ha considerado los </w:t>
      </w:r>
      <w:r w:rsidRPr="00E8057F">
        <w:rPr>
          <w:i/>
        </w:rPr>
        <w:t xml:space="preserve">Objetivos de Desarrollo Sostenible (ODS), también conocidos como </w:t>
      </w:r>
      <w:hyperlink r:id="rId9" w:history="1">
        <w:r w:rsidRPr="00E8057F">
          <w:rPr>
            <w:i/>
          </w:rPr>
          <w:t>Objetivos Mundiales</w:t>
        </w:r>
      </w:hyperlink>
      <w:r w:rsidRPr="00E8057F">
        <w:rPr>
          <w:rStyle w:val="Refdenotaalpie"/>
        </w:rPr>
        <w:footnoteReference w:id="10"/>
      </w:r>
      <w:r w:rsidRPr="00E8057F">
        <w:t>, como parte de su responsabilidad social por ser esta una entidad prestadora de servicios que puede aportar en el logro de “</w:t>
      </w:r>
      <w:r w:rsidRPr="00E8057F">
        <w:rPr>
          <w:i/>
        </w:rPr>
        <w:t>poner fin a la pobreza, proteger el planeta y garantizar que todas las personas gocen de paz y prosperidad”</w:t>
      </w:r>
      <w:r w:rsidRPr="00E8057F">
        <w:rPr>
          <w:rStyle w:val="Refdenotaalpie"/>
          <w:i/>
        </w:rPr>
        <w:footnoteReference w:id="11"/>
      </w:r>
      <w:r w:rsidRPr="00E8057F">
        <w:t xml:space="preserve">. Es así como se suma al grupo de </w:t>
      </w:r>
      <w:r w:rsidRPr="00E8057F">
        <w:lastRenderedPageBreak/>
        <w:t>entidades del orden territorial que buscan el cumplimiento de los Objetivos de Desarrollo Sostenible en Colombia; particularmente, en aquellos que se aproximan a sus competencias, tales como</w:t>
      </w:r>
      <w:r w:rsidR="008C2701" w:rsidRPr="00E8057F">
        <w:rPr>
          <w:rStyle w:val="Refdenotaalpie"/>
        </w:rPr>
        <w:footnoteReference w:id="12"/>
      </w:r>
      <w:r w:rsidRPr="00E8057F">
        <w:t>:</w:t>
      </w:r>
    </w:p>
    <w:p w14:paraId="2B8EA0C2" w14:textId="77777777" w:rsidR="00F32D34" w:rsidRPr="00E8057F" w:rsidRDefault="00F32D34" w:rsidP="00F32D34">
      <w:pPr>
        <w:pStyle w:val="Prrafodelista"/>
        <w:numPr>
          <w:ilvl w:val="0"/>
          <w:numId w:val="6"/>
        </w:numPr>
        <w:jc w:val="both"/>
      </w:pPr>
      <w:r w:rsidRPr="00E8057F">
        <w:t>Objetivo 1: Fin a la pobreza</w:t>
      </w:r>
    </w:p>
    <w:p w14:paraId="19B9EF9F" w14:textId="47C3140E" w:rsidR="00F32D34" w:rsidRPr="00E8057F" w:rsidRDefault="00F32D34" w:rsidP="00F32D34">
      <w:pPr>
        <w:pStyle w:val="Prrafodelista"/>
        <w:numPr>
          <w:ilvl w:val="0"/>
          <w:numId w:val="6"/>
        </w:numPr>
        <w:jc w:val="both"/>
      </w:pPr>
      <w:r w:rsidRPr="00E8057F">
        <w:t>Objetivo 6: Agua limpia y saneamiento</w:t>
      </w:r>
    </w:p>
    <w:p w14:paraId="71CC5004" w14:textId="77777777" w:rsidR="000B0530" w:rsidRPr="00E8057F" w:rsidRDefault="000B0530" w:rsidP="000B0530">
      <w:pPr>
        <w:pStyle w:val="Prrafodelista"/>
        <w:numPr>
          <w:ilvl w:val="0"/>
          <w:numId w:val="6"/>
        </w:numPr>
        <w:jc w:val="both"/>
      </w:pPr>
      <w:r w:rsidRPr="00E8057F">
        <w:t>Objetivo 7: Energía asequible y no contaminante</w:t>
      </w:r>
    </w:p>
    <w:p w14:paraId="4626A4C9" w14:textId="77777777" w:rsidR="000B0530" w:rsidRPr="00E8057F" w:rsidRDefault="000B0530" w:rsidP="000B0530">
      <w:pPr>
        <w:pStyle w:val="Prrafodelista"/>
        <w:numPr>
          <w:ilvl w:val="0"/>
          <w:numId w:val="6"/>
        </w:numPr>
        <w:jc w:val="both"/>
      </w:pPr>
      <w:r w:rsidRPr="00E8057F">
        <w:t>Objetivo 8: Trabajo decente y crecimiento económico</w:t>
      </w:r>
    </w:p>
    <w:p w14:paraId="0D2A62A2" w14:textId="51EDA6A1" w:rsidR="00F32D34" w:rsidRPr="00E8057F" w:rsidRDefault="00F32D34" w:rsidP="00F32D34">
      <w:pPr>
        <w:pStyle w:val="Prrafodelista"/>
        <w:numPr>
          <w:ilvl w:val="0"/>
          <w:numId w:val="6"/>
        </w:numPr>
        <w:jc w:val="both"/>
      </w:pPr>
      <w:r w:rsidRPr="00E8057F">
        <w:t>Objetivo 11: Ciudades y comunidades sostenibles</w:t>
      </w:r>
    </w:p>
    <w:p w14:paraId="14E95A47" w14:textId="77777777" w:rsidR="000B0530" w:rsidRPr="00E8057F" w:rsidRDefault="000B0530" w:rsidP="000B0530">
      <w:pPr>
        <w:pStyle w:val="Prrafodelista"/>
        <w:numPr>
          <w:ilvl w:val="0"/>
          <w:numId w:val="6"/>
        </w:numPr>
        <w:jc w:val="both"/>
      </w:pPr>
      <w:r w:rsidRPr="00E8057F">
        <w:t>Objetivo 12: Producción y consumo responsables</w:t>
      </w:r>
    </w:p>
    <w:p w14:paraId="2E169959" w14:textId="77777777" w:rsidR="00F32D34" w:rsidRPr="00E8057F" w:rsidRDefault="00F32D34" w:rsidP="00F32D34">
      <w:pPr>
        <w:pStyle w:val="Prrafodelista"/>
        <w:numPr>
          <w:ilvl w:val="0"/>
          <w:numId w:val="6"/>
        </w:numPr>
        <w:jc w:val="both"/>
      </w:pPr>
      <w:r w:rsidRPr="00E8057F">
        <w:t>Objetivo 13: Acción por el clima</w:t>
      </w:r>
    </w:p>
    <w:p w14:paraId="3405C386" w14:textId="0ECEC517" w:rsidR="00F32D34" w:rsidRPr="00E8057F" w:rsidRDefault="00F32D34" w:rsidP="00F32D34">
      <w:pPr>
        <w:pStyle w:val="Prrafodelista"/>
        <w:numPr>
          <w:ilvl w:val="0"/>
          <w:numId w:val="6"/>
        </w:numPr>
        <w:jc w:val="both"/>
      </w:pPr>
      <w:r w:rsidRPr="00E8057F">
        <w:t>Objetivo 15: Vida de ecosistemas terrestres</w:t>
      </w:r>
    </w:p>
    <w:p w14:paraId="74AB4C94" w14:textId="7A93A88E" w:rsidR="00EF31E2" w:rsidRPr="00E8057F" w:rsidRDefault="00EF31E2" w:rsidP="00CE1F2D">
      <w:pPr>
        <w:pStyle w:val="Prrafodelista"/>
        <w:numPr>
          <w:ilvl w:val="0"/>
          <w:numId w:val="6"/>
        </w:numPr>
        <w:jc w:val="both"/>
      </w:pPr>
      <w:r w:rsidRPr="00E8057F">
        <w:t>Objetivo 16: Paz, justicia e instituciones sólidas</w:t>
      </w:r>
    </w:p>
    <w:p w14:paraId="6C2F9754" w14:textId="37121351" w:rsidR="00EF31E2" w:rsidRPr="00E8057F" w:rsidRDefault="00A26AB0" w:rsidP="00CE1F2D">
      <w:pPr>
        <w:pStyle w:val="Prrafodelista"/>
        <w:numPr>
          <w:ilvl w:val="0"/>
          <w:numId w:val="6"/>
        </w:numPr>
        <w:jc w:val="both"/>
      </w:pPr>
      <w:r w:rsidRPr="00E8057F">
        <w:t>Objetivo 17: Alianzas para lograr los objetivos</w:t>
      </w:r>
    </w:p>
    <w:p w14:paraId="2D6BB855" w14:textId="77777777" w:rsidR="00CE1F2D" w:rsidRPr="00E8057F" w:rsidRDefault="00CE1F2D" w:rsidP="00474BE0">
      <w:pPr>
        <w:pStyle w:val="Prrafodelista"/>
        <w:ind w:left="360"/>
        <w:jc w:val="both"/>
      </w:pPr>
    </w:p>
    <w:tbl>
      <w:tblPr>
        <w:tblStyle w:val="Tablaconcuadrcula4-nfasis21"/>
        <w:tblW w:w="9490" w:type="dxa"/>
        <w:tblLook w:val="04A0" w:firstRow="1" w:lastRow="0" w:firstColumn="1" w:lastColumn="0" w:noHBand="0" w:noVBand="1"/>
      </w:tblPr>
      <w:tblGrid>
        <w:gridCol w:w="2547"/>
        <w:gridCol w:w="3402"/>
        <w:gridCol w:w="3541"/>
      </w:tblGrid>
      <w:tr w:rsidR="00720205" w:rsidRPr="00E8057F" w14:paraId="3AA3CE8A" w14:textId="77777777" w:rsidTr="00F32D34">
        <w:trPr>
          <w:cnfStyle w:val="100000000000" w:firstRow="1" w:lastRow="0" w:firstColumn="0" w:lastColumn="0" w:oddVBand="0" w:evenVBand="0" w:oddHBand="0" w:evenHBand="0" w:firstRowFirstColumn="0" w:firstRowLastColumn="0" w:lastRowFirstColumn="0" w:lastRowLastColumn="0"/>
          <w:trHeight w:val="188"/>
          <w:tblHeader/>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6EB4BED3" w14:textId="77777777" w:rsidR="00720205" w:rsidRPr="00E8057F" w:rsidRDefault="00720205" w:rsidP="00720205">
            <w:pPr>
              <w:jc w:val="center"/>
              <w:rPr>
                <w:rFonts w:eastAsia="Times New Roman" w:cs="Calibri"/>
                <w:b w:val="0"/>
                <w:bCs w:val="0"/>
                <w:lang w:eastAsia="es-CO"/>
              </w:rPr>
            </w:pPr>
            <w:r w:rsidRPr="00E8057F">
              <w:rPr>
                <w:rFonts w:eastAsia="Times New Roman" w:cs="Calibri"/>
                <w:lang w:eastAsia="es-CO"/>
              </w:rPr>
              <w:t>Objetivo ODS</w:t>
            </w:r>
          </w:p>
        </w:tc>
        <w:tc>
          <w:tcPr>
            <w:tcW w:w="3402" w:type="dxa"/>
            <w:vAlign w:val="center"/>
            <w:hideMark/>
          </w:tcPr>
          <w:p w14:paraId="27099100" w14:textId="77777777" w:rsidR="00720205" w:rsidRPr="00E8057F" w:rsidRDefault="00720205" w:rsidP="00720205">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lang w:eastAsia="es-CO"/>
              </w:rPr>
            </w:pPr>
            <w:r w:rsidRPr="00E8057F">
              <w:rPr>
                <w:rFonts w:eastAsia="Times New Roman" w:cs="Calibri"/>
                <w:lang w:eastAsia="es-CO"/>
              </w:rPr>
              <w:t>Meta ODS</w:t>
            </w:r>
          </w:p>
        </w:tc>
        <w:tc>
          <w:tcPr>
            <w:tcW w:w="3541" w:type="dxa"/>
            <w:vAlign w:val="center"/>
            <w:hideMark/>
          </w:tcPr>
          <w:p w14:paraId="350C79A7" w14:textId="77777777" w:rsidR="00720205" w:rsidRPr="00E8057F" w:rsidRDefault="00720205" w:rsidP="00720205">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lang w:eastAsia="es-CO"/>
              </w:rPr>
            </w:pPr>
            <w:r w:rsidRPr="00E8057F">
              <w:rPr>
                <w:rFonts w:eastAsia="Times New Roman" w:cs="Calibri"/>
                <w:lang w:eastAsia="es-CO"/>
              </w:rPr>
              <w:t>Actividad relacionada</w:t>
            </w:r>
          </w:p>
        </w:tc>
      </w:tr>
      <w:tr w:rsidR="0099658F" w:rsidRPr="00E8057F" w14:paraId="23CEAE84" w14:textId="77777777" w:rsidTr="00F32D3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hideMark/>
          </w:tcPr>
          <w:p w14:paraId="393759ED" w14:textId="7915F617" w:rsidR="0099658F" w:rsidRPr="00E8057F" w:rsidRDefault="0099658F" w:rsidP="00F32D34">
            <w:pPr>
              <w:jc w:val="both"/>
              <w:rPr>
                <w:rFonts w:eastAsia="Times New Roman" w:cs="Calibri"/>
                <w:lang w:eastAsia="es-CO"/>
              </w:rPr>
            </w:pPr>
            <w:r w:rsidRPr="00E8057F">
              <w:rPr>
                <w:rFonts w:eastAsia="Times New Roman" w:cs="Calibri"/>
                <w:lang w:eastAsia="es-CO"/>
              </w:rPr>
              <w:t>1. FIN DE LA PROBREZA (Poner fin a la pobreza en todas sus formas en todo el mundo)</w:t>
            </w:r>
          </w:p>
        </w:tc>
        <w:tc>
          <w:tcPr>
            <w:tcW w:w="3402" w:type="dxa"/>
            <w:vMerge w:val="restart"/>
            <w:vAlign w:val="center"/>
            <w:hideMark/>
          </w:tcPr>
          <w:p w14:paraId="1B81B21D" w14:textId="28AF4C28" w:rsidR="0099658F" w:rsidRPr="00E8057F" w:rsidRDefault="0099658F" w:rsidP="00720205">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1.1 Para 2030, erradicar la pobreza extrema para todas las personas en el mundo, actualmente medida por un ingreso por persona inferior a 1,25 dólares de los Estados Unidos al día</w:t>
            </w:r>
          </w:p>
        </w:tc>
        <w:tc>
          <w:tcPr>
            <w:tcW w:w="3541" w:type="dxa"/>
            <w:vAlign w:val="center"/>
            <w:hideMark/>
          </w:tcPr>
          <w:p w14:paraId="599AD448" w14:textId="420C31B1" w:rsidR="0099658F" w:rsidRPr="00E8057F" w:rsidRDefault="0099658F" w:rsidP="0011610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Acciones afirmativas población recicladora (Plan de Inclusión y las Fases de la Implementación del plan de fortalecimiento y formalización a la población recicladora de oficio</w:t>
            </w:r>
            <w:r w:rsidR="0011610A">
              <w:rPr>
                <w:rFonts w:eastAsia="Times New Roman" w:cs="Calibri"/>
                <w:lang w:eastAsia="es-CO"/>
              </w:rPr>
              <w:t>.</w:t>
            </w:r>
          </w:p>
        </w:tc>
      </w:tr>
      <w:tr w:rsidR="0099658F" w:rsidRPr="00E8057F" w14:paraId="29AC3FFC" w14:textId="77777777" w:rsidTr="00F32D34">
        <w:trPr>
          <w:trHeight w:val="713"/>
        </w:trPr>
        <w:tc>
          <w:tcPr>
            <w:cnfStyle w:val="001000000000" w:firstRow="0" w:lastRow="0" w:firstColumn="1" w:lastColumn="0" w:oddVBand="0" w:evenVBand="0" w:oddHBand="0" w:evenHBand="0" w:firstRowFirstColumn="0" w:firstRowLastColumn="0" w:lastRowFirstColumn="0" w:lastRowLastColumn="0"/>
            <w:tcW w:w="2547" w:type="dxa"/>
            <w:vMerge/>
            <w:vAlign w:val="center"/>
            <w:hideMark/>
          </w:tcPr>
          <w:p w14:paraId="4B09C80F" w14:textId="77777777" w:rsidR="0099658F" w:rsidRPr="00E8057F" w:rsidRDefault="0099658F" w:rsidP="00F32D34">
            <w:pPr>
              <w:jc w:val="both"/>
              <w:rPr>
                <w:rFonts w:eastAsia="Times New Roman" w:cs="Calibri"/>
                <w:lang w:eastAsia="es-CO"/>
              </w:rPr>
            </w:pPr>
          </w:p>
        </w:tc>
        <w:tc>
          <w:tcPr>
            <w:tcW w:w="3402" w:type="dxa"/>
            <w:vMerge/>
            <w:vAlign w:val="center"/>
            <w:hideMark/>
          </w:tcPr>
          <w:p w14:paraId="514CB393" w14:textId="77777777" w:rsidR="0099658F" w:rsidRPr="00E8057F" w:rsidRDefault="0099658F" w:rsidP="00720205">
            <w:pPr>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c>
          <w:tcPr>
            <w:tcW w:w="3541" w:type="dxa"/>
            <w:vAlign w:val="center"/>
            <w:hideMark/>
          </w:tcPr>
          <w:p w14:paraId="0691FD3A" w14:textId="38EFCBD0" w:rsidR="0099658F" w:rsidRPr="00E8057F" w:rsidRDefault="0099658F" w:rsidP="0011610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Fases de la Implementación del plan de fortalecimiento y formalización a la población recicladora de oficio</w:t>
            </w:r>
            <w:r w:rsidR="0011610A">
              <w:rPr>
                <w:rFonts w:eastAsia="Times New Roman" w:cs="Calibri"/>
                <w:lang w:eastAsia="es-CO"/>
              </w:rPr>
              <w:t>.</w:t>
            </w:r>
          </w:p>
        </w:tc>
      </w:tr>
      <w:tr w:rsidR="0099658F" w:rsidRPr="00E8057F" w14:paraId="33E54A68" w14:textId="77777777" w:rsidTr="00F32D34">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44C3398" w14:textId="77777777" w:rsidR="0099658F" w:rsidRPr="00E8057F" w:rsidRDefault="0099658F" w:rsidP="00F32D34">
            <w:pPr>
              <w:jc w:val="both"/>
              <w:rPr>
                <w:rFonts w:eastAsia="Times New Roman" w:cs="Calibri"/>
                <w:lang w:eastAsia="es-CO"/>
              </w:rPr>
            </w:pPr>
          </w:p>
        </w:tc>
        <w:tc>
          <w:tcPr>
            <w:tcW w:w="3402" w:type="dxa"/>
            <w:vMerge/>
            <w:vAlign w:val="center"/>
          </w:tcPr>
          <w:p w14:paraId="6A641459" w14:textId="77777777" w:rsidR="0099658F" w:rsidRPr="00E8057F" w:rsidRDefault="0099658F" w:rsidP="00720205">
            <w:pPr>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c>
          <w:tcPr>
            <w:tcW w:w="3541" w:type="dxa"/>
            <w:vAlign w:val="center"/>
          </w:tcPr>
          <w:p w14:paraId="1C6D9B23" w14:textId="461C1880" w:rsidR="0099658F" w:rsidRPr="00E8057F" w:rsidRDefault="0099658F" w:rsidP="00720205">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Ejecución del Plan de Gestión Social - PGS de la zona de influencia del RSDJ de cumplimiento por parte del Distrito.</w:t>
            </w:r>
          </w:p>
        </w:tc>
      </w:tr>
      <w:tr w:rsidR="00720205" w:rsidRPr="00E8057F" w14:paraId="60FAAC34" w14:textId="77777777" w:rsidTr="000B0530">
        <w:trPr>
          <w:trHeight w:val="467"/>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501F7CF0" w14:textId="77777777" w:rsidR="00720205" w:rsidRPr="00E8057F" w:rsidRDefault="00720205" w:rsidP="00F32D34">
            <w:pPr>
              <w:jc w:val="both"/>
              <w:rPr>
                <w:rFonts w:eastAsia="Times New Roman" w:cs="Calibri"/>
                <w:lang w:eastAsia="es-CO"/>
              </w:rPr>
            </w:pPr>
            <w:r w:rsidRPr="00E8057F">
              <w:rPr>
                <w:rFonts w:eastAsia="Times New Roman" w:cs="Calibri"/>
                <w:lang w:eastAsia="es-CO"/>
              </w:rPr>
              <w:t>6. AGUA LIMPIA Y SANEAMIENTO (Garantizar la disponibilidad de agua y su gestión sostenible y el saneamiento para todos)</w:t>
            </w:r>
          </w:p>
        </w:tc>
        <w:tc>
          <w:tcPr>
            <w:tcW w:w="3402" w:type="dxa"/>
            <w:vAlign w:val="center"/>
            <w:hideMark/>
          </w:tcPr>
          <w:p w14:paraId="6308ED95" w14:textId="77777777" w:rsidR="00720205" w:rsidRPr="00E8057F" w:rsidRDefault="00720205" w:rsidP="001A2C9C">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6.3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tc>
        <w:tc>
          <w:tcPr>
            <w:tcW w:w="3541" w:type="dxa"/>
            <w:vAlign w:val="center"/>
            <w:hideMark/>
          </w:tcPr>
          <w:p w14:paraId="4CDA2E1D" w14:textId="6EBA4C70" w:rsidR="00720205" w:rsidRPr="00E8057F" w:rsidRDefault="00BB1087" w:rsidP="00720205">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Operación de la </w:t>
            </w:r>
            <w:r w:rsidR="00720205" w:rsidRPr="00E8057F">
              <w:rPr>
                <w:rFonts w:eastAsia="Times New Roman" w:cs="Calibri"/>
                <w:lang w:eastAsia="es-CO"/>
              </w:rPr>
              <w:t xml:space="preserve">Planta de Tratamiento de Lixiviados </w:t>
            </w:r>
            <w:r w:rsidRPr="00E8057F">
              <w:rPr>
                <w:rFonts w:eastAsia="Times New Roman" w:cs="Calibri"/>
                <w:lang w:eastAsia="es-CO"/>
              </w:rPr>
              <w:t>–</w:t>
            </w:r>
            <w:r w:rsidR="00720205" w:rsidRPr="00E8057F">
              <w:rPr>
                <w:rFonts w:eastAsia="Times New Roman" w:cs="Calibri"/>
                <w:lang w:eastAsia="es-CO"/>
              </w:rPr>
              <w:t xml:space="preserve"> PTL</w:t>
            </w:r>
            <w:r w:rsidRPr="00E8057F">
              <w:rPr>
                <w:rFonts w:eastAsia="Times New Roman" w:cs="Calibri"/>
                <w:lang w:eastAsia="es-CO"/>
              </w:rPr>
              <w:t xml:space="preserve"> con el fin de evitar la contaminación de las fuentes hídricas.</w:t>
            </w:r>
          </w:p>
          <w:p w14:paraId="407821C9" w14:textId="77777777" w:rsidR="0021076C" w:rsidRDefault="0021076C" w:rsidP="00720205">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p w14:paraId="688F6AA2" w14:textId="1AD55C2B" w:rsidR="00BB1087" w:rsidRPr="00E8057F" w:rsidRDefault="00BB1087" w:rsidP="00720205">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Campañas de sensibilización </w:t>
            </w:r>
            <w:r w:rsidR="0021076C">
              <w:rPr>
                <w:rFonts w:eastAsia="Times New Roman" w:cs="Calibri"/>
                <w:lang w:eastAsia="es-CO"/>
              </w:rPr>
              <w:t xml:space="preserve">referentes al cumplimiento del código de policía, en los cuales se trata el </w:t>
            </w:r>
            <w:r w:rsidRPr="00E8057F">
              <w:rPr>
                <w:rFonts w:eastAsia="Times New Roman" w:cs="Calibri"/>
                <w:lang w:eastAsia="es-CO"/>
              </w:rPr>
              <w:t>manejo de los residuos que pueden evitar el taponamiento de</w:t>
            </w:r>
            <w:r w:rsidR="0021076C">
              <w:rPr>
                <w:rFonts w:eastAsia="Times New Roman" w:cs="Calibri"/>
                <w:lang w:eastAsia="es-CO"/>
              </w:rPr>
              <w:t>l alcantarillado o daño al espacio público</w:t>
            </w:r>
            <w:r w:rsidRPr="00E8057F">
              <w:rPr>
                <w:rFonts w:eastAsia="Times New Roman" w:cs="Calibri"/>
                <w:lang w:eastAsia="es-CO"/>
              </w:rPr>
              <w:t xml:space="preserve"> </w:t>
            </w:r>
            <w:r w:rsidR="0021076C">
              <w:rPr>
                <w:rFonts w:eastAsia="Times New Roman" w:cs="Calibri"/>
                <w:lang w:eastAsia="es-CO"/>
              </w:rPr>
              <w:t>que afecte</w:t>
            </w:r>
            <w:r w:rsidR="008A157D">
              <w:rPr>
                <w:rFonts w:eastAsia="Times New Roman" w:cs="Calibri"/>
                <w:lang w:eastAsia="es-CO"/>
              </w:rPr>
              <w:t xml:space="preserve"> </w:t>
            </w:r>
            <w:r w:rsidRPr="00E8057F">
              <w:rPr>
                <w:rFonts w:eastAsia="Times New Roman" w:cs="Calibri"/>
                <w:lang w:eastAsia="es-CO"/>
              </w:rPr>
              <w:t>la contaminación de las fuentes hídricas.</w:t>
            </w:r>
          </w:p>
        </w:tc>
      </w:tr>
      <w:tr w:rsidR="00BB1087" w:rsidRPr="00E8057F" w14:paraId="38031D06" w14:textId="77777777" w:rsidTr="001A2C9C">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05E707BD" w14:textId="42E873E1" w:rsidR="00BB1087" w:rsidRPr="00E8057F" w:rsidRDefault="00BB1087" w:rsidP="001A2C9C">
            <w:pPr>
              <w:jc w:val="both"/>
              <w:rPr>
                <w:rFonts w:eastAsia="Times New Roman" w:cs="Calibri"/>
                <w:lang w:eastAsia="es-CO"/>
              </w:rPr>
            </w:pPr>
            <w:r w:rsidRPr="00E8057F">
              <w:rPr>
                <w:rFonts w:eastAsia="Times New Roman" w:cs="Calibri"/>
                <w:lang w:eastAsia="es-CO"/>
              </w:rPr>
              <w:lastRenderedPageBreak/>
              <w:t>7. ENERGÍA ASEQUIBLE Y NO CONTAMINANTE (Garantizar el acceso a una energía asequible, segura, sostenible y moderna para todos)</w:t>
            </w:r>
          </w:p>
          <w:p w14:paraId="65723811" w14:textId="1CE066A3" w:rsidR="00BB1087" w:rsidRPr="00E8057F" w:rsidRDefault="00BB1087" w:rsidP="00F32D34">
            <w:pPr>
              <w:jc w:val="both"/>
              <w:rPr>
                <w:rFonts w:eastAsia="Times New Roman" w:cs="Calibri"/>
                <w:lang w:eastAsia="es-CO"/>
              </w:rPr>
            </w:pPr>
          </w:p>
        </w:tc>
        <w:tc>
          <w:tcPr>
            <w:tcW w:w="3402" w:type="dxa"/>
            <w:vAlign w:val="center"/>
          </w:tcPr>
          <w:p w14:paraId="69DDCC66" w14:textId="4C8F690C" w:rsidR="00BB1087" w:rsidRPr="00E8057F" w:rsidRDefault="0011610A" w:rsidP="0011610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Pr>
                <w:rFonts w:eastAsia="Times New Roman" w:cs="Calibri"/>
                <w:lang w:eastAsia="es-CO"/>
              </w:rPr>
              <w:t xml:space="preserve">7.1 </w:t>
            </w:r>
            <w:r w:rsidR="00BB1087" w:rsidRPr="00E8057F">
              <w:rPr>
                <w:rFonts w:eastAsia="Times New Roman" w:cs="Calibri"/>
                <w:lang w:eastAsia="es-CO"/>
              </w:rPr>
              <w:t>De aquí a 2030, garantizar el acceso universal a servicios energéticos asequibles, fiables y modernos</w:t>
            </w:r>
            <w:r>
              <w:rPr>
                <w:rFonts w:eastAsia="Times New Roman" w:cs="Calibri"/>
                <w:lang w:eastAsia="es-CO"/>
              </w:rPr>
              <w:t>.</w:t>
            </w:r>
          </w:p>
        </w:tc>
        <w:tc>
          <w:tcPr>
            <w:tcW w:w="3541" w:type="dxa"/>
            <w:vMerge w:val="restart"/>
            <w:vAlign w:val="center"/>
          </w:tcPr>
          <w:p w14:paraId="7CF7584A" w14:textId="35476722" w:rsidR="00BB1087" w:rsidRPr="00E8057F" w:rsidRDefault="00BB1087" w:rsidP="008A157D">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Se garantiza la cobertura de la prestación del servicio de alumbrado público con alternativas de iluminación mediante el uso de </w:t>
            </w:r>
            <w:r w:rsidR="0021076C">
              <w:rPr>
                <w:rFonts w:eastAsia="Times New Roman" w:cs="Calibri"/>
                <w:lang w:eastAsia="es-CO"/>
              </w:rPr>
              <w:t xml:space="preserve">nuevas </w:t>
            </w:r>
            <w:r w:rsidRPr="00E8057F">
              <w:rPr>
                <w:rFonts w:eastAsia="Times New Roman" w:cs="Calibri"/>
                <w:lang w:eastAsia="es-CO"/>
              </w:rPr>
              <w:t>tecnología</w:t>
            </w:r>
            <w:r w:rsidR="0021076C">
              <w:rPr>
                <w:rFonts w:eastAsia="Times New Roman" w:cs="Calibri"/>
                <w:lang w:eastAsia="es-CO"/>
              </w:rPr>
              <w:t>s</w:t>
            </w:r>
            <w:r w:rsidRPr="00E8057F">
              <w:rPr>
                <w:rFonts w:eastAsia="Times New Roman" w:cs="Calibri"/>
                <w:lang w:eastAsia="es-CO"/>
              </w:rPr>
              <w:t>, a través de la modernización de las luminarias instaladas en los barrios legalizados. Uno de los mecanismos con el cual se logra esto es a través del estudio y aprobación de proyectos fotométricos.</w:t>
            </w:r>
          </w:p>
        </w:tc>
      </w:tr>
      <w:tr w:rsidR="00BB1087" w:rsidRPr="00E8057F" w14:paraId="3F539CD7" w14:textId="77777777" w:rsidTr="001A2C9C">
        <w:trPr>
          <w:trHeight w:val="1267"/>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22364107" w14:textId="77777777" w:rsidR="00BB1087" w:rsidRPr="00E8057F" w:rsidRDefault="00BB1087" w:rsidP="001A2C9C">
            <w:pPr>
              <w:jc w:val="both"/>
              <w:rPr>
                <w:rFonts w:eastAsia="Times New Roman" w:cs="Calibri"/>
                <w:lang w:eastAsia="es-CO"/>
              </w:rPr>
            </w:pPr>
          </w:p>
        </w:tc>
        <w:tc>
          <w:tcPr>
            <w:tcW w:w="3402" w:type="dxa"/>
            <w:vAlign w:val="center"/>
          </w:tcPr>
          <w:p w14:paraId="1669718D" w14:textId="71F8510B" w:rsidR="00BB1087" w:rsidRPr="00E8057F" w:rsidRDefault="00BB1087" w:rsidP="001A2C9C">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7.3 De aquí a 2030, duplicar la tasa mundial de mejora de la eficiencia energética.</w:t>
            </w:r>
          </w:p>
        </w:tc>
        <w:tc>
          <w:tcPr>
            <w:tcW w:w="3541" w:type="dxa"/>
            <w:vMerge/>
            <w:vAlign w:val="center"/>
          </w:tcPr>
          <w:p w14:paraId="6635F70D" w14:textId="77777777" w:rsidR="00BB1087" w:rsidRPr="00E8057F" w:rsidRDefault="00BB1087" w:rsidP="00720205">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r>
      <w:tr w:rsidR="007C456E" w:rsidRPr="00E8057F" w14:paraId="0B769439" w14:textId="77777777" w:rsidTr="007C456E">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7950980F" w14:textId="3EB3D006" w:rsidR="007C456E" w:rsidRPr="00E8057F" w:rsidRDefault="007C456E" w:rsidP="0011610A">
            <w:pPr>
              <w:jc w:val="both"/>
              <w:rPr>
                <w:rFonts w:eastAsia="Times New Roman" w:cs="Calibri"/>
                <w:lang w:eastAsia="es-CO"/>
              </w:rPr>
            </w:pPr>
            <w:r w:rsidRPr="00E8057F">
              <w:rPr>
                <w:rFonts w:eastAsia="Times New Roman" w:cs="Calibri"/>
                <w:lang w:eastAsia="es-CO"/>
              </w:rPr>
              <w:t>8. TRABAJO DECENTE Y CRECIMIENTO ECONÓMICO (Promover el crecimiento económico sostenido, inclusivo y sostenible, el empleo pleno y productivo y el trabajo decente para todos)</w:t>
            </w:r>
          </w:p>
        </w:tc>
        <w:tc>
          <w:tcPr>
            <w:tcW w:w="3402" w:type="dxa"/>
            <w:vAlign w:val="center"/>
          </w:tcPr>
          <w:p w14:paraId="23E67495" w14:textId="3BE797B5" w:rsidR="007C456E" w:rsidRPr="00E8057F" w:rsidRDefault="007C456E" w:rsidP="0011610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8.3</w:t>
            </w:r>
            <w:r w:rsidR="0011610A">
              <w:rPr>
                <w:rFonts w:eastAsia="Times New Roman" w:cs="Calibri"/>
                <w:lang w:eastAsia="es-CO"/>
              </w:rPr>
              <w:t xml:space="preserve"> </w:t>
            </w:r>
            <w:r w:rsidRPr="00E8057F">
              <w:rPr>
                <w:rFonts w:eastAsia="Times New Roman" w:cs="Calibri"/>
                <w:lang w:eastAsia="es-CO"/>
              </w:rPr>
              <w:t>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r w:rsidR="0011610A">
              <w:rPr>
                <w:rFonts w:eastAsia="Times New Roman" w:cs="Calibri"/>
                <w:lang w:eastAsia="es-CO"/>
              </w:rPr>
              <w:t>.</w:t>
            </w:r>
          </w:p>
        </w:tc>
        <w:tc>
          <w:tcPr>
            <w:tcW w:w="3541" w:type="dxa"/>
            <w:vAlign w:val="center"/>
          </w:tcPr>
          <w:p w14:paraId="7CEEAABC" w14:textId="4C67F97C" w:rsidR="007C456E" w:rsidRPr="00E8057F" w:rsidRDefault="0099658F"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Ejecución del Plan de Gestión Social -PGS </w:t>
            </w:r>
            <w:r w:rsidR="0021076C">
              <w:rPr>
                <w:rFonts w:eastAsia="Times New Roman" w:cs="Calibri"/>
                <w:lang w:eastAsia="es-CO"/>
              </w:rPr>
              <w:t xml:space="preserve">- </w:t>
            </w:r>
            <w:r w:rsidRPr="00E8057F">
              <w:rPr>
                <w:rFonts w:eastAsia="Times New Roman" w:cs="Calibri"/>
                <w:lang w:eastAsia="es-CO"/>
              </w:rPr>
              <w:t>de la zona de influencia del RSDJ de cumplimiento por parte del Operador del Relleno.</w:t>
            </w:r>
            <w:r w:rsidR="00BB1087" w:rsidRPr="00E8057F">
              <w:rPr>
                <w:rFonts w:eastAsia="Times New Roman" w:cs="Calibri"/>
                <w:lang w:eastAsia="es-CO"/>
              </w:rPr>
              <w:t xml:space="preserve"> Esto por cuanto el operador del RSDJ debe garantizar la contratación de mano de oba no calificada </w:t>
            </w:r>
            <w:r w:rsidR="003870FB" w:rsidRPr="00E8057F">
              <w:rPr>
                <w:rFonts w:eastAsia="Times New Roman" w:cs="Calibri"/>
                <w:lang w:eastAsia="es-CO"/>
              </w:rPr>
              <w:t>con población de la zona aledaña.</w:t>
            </w:r>
          </w:p>
          <w:p w14:paraId="7A526600" w14:textId="77777777" w:rsidR="003870FB" w:rsidRPr="00E8057F" w:rsidRDefault="003870FB"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La Entidad genera empleo a través de su planta de personal y la contratación que apoya el cumplimiento de las acciones misionales y de apoyo de la Unidad.</w:t>
            </w:r>
          </w:p>
          <w:p w14:paraId="5854A10C" w14:textId="17B43CC7" w:rsidR="003870FB" w:rsidRPr="00E8057F" w:rsidRDefault="003870FB"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Con el programa de aprovechamiento se aporta con la formalización de las organizaciones recicladoras de oficio se genera la oportunidad del empleo pleno y productivo y el trabajo decente.</w:t>
            </w:r>
          </w:p>
          <w:p w14:paraId="5B1338CA" w14:textId="56F8FB20" w:rsidR="003870FB" w:rsidRPr="00E8057F" w:rsidRDefault="002F71A2">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Con el alumbrado público, de manera indirecta se aporta con la iluminación de los espacios públicos en zonas de comercio</w:t>
            </w:r>
            <w:r w:rsidR="005A3426" w:rsidRPr="00E8057F">
              <w:rPr>
                <w:rFonts w:eastAsia="Times New Roman" w:cs="Calibri"/>
                <w:lang w:eastAsia="es-CO"/>
              </w:rPr>
              <w:t>.</w:t>
            </w:r>
          </w:p>
        </w:tc>
      </w:tr>
      <w:tr w:rsidR="007C456E" w:rsidRPr="00E8057F" w14:paraId="3876B97B" w14:textId="77777777" w:rsidTr="000B0530">
        <w:trPr>
          <w:trHeight w:val="1685"/>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208BD616" w14:textId="77777777" w:rsidR="007C456E" w:rsidRPr="00E8057F" w:rsidRDefault="007C456E" w:rsidP="007C456E">
            <w:pPr>
              <w:jc w:val="both"/>
              <w:rPr>
                <w:rFonts w:eastAsia="Times New Roman" w:cs="Calibri"/>
                <w:lang w:eastAsia="es-CO"/>
              </w:rPr>
            </w:pPr>
          </w:p>
        </w:tc>
        <w:tc>
          <w:tcPr>
            <w:tcW w:w="3402" w:type="dxa"/>
            <w:vAlign w:val="center"/>
          </w:tcPr>
          <w:p w14:paraId="2FA0D273" w14:textId="7FA5AD3B" w:rsidR="007C456E" w:rsidRPr="00E8057F" w:rsidRDefault="007C456E" w:rsidP="007C456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8.8 Proteger los derechos laborales y promover un entorno de trabajo seguro y sin riesgos para todos los trabajadores, incluidos los trabajadores migrantes, en particular las mujeres migrantes y las personas con empleos precarios</w:t>
            </w:r>
          </w:p>
        </w:tc>
        <w:tc>
          <w:tcPr>
            <w:tcW w:w="3541" w:type="dxa"/>
            <w:vAlign w:val="center"/>
          </w:tcPr>
          <w:p w14:paraId="47B6520E" w14:textId="40D26187" w:rsidR="007C456E" w:rsidRPr="00E8057F" w:rsidRDefault="00882E04" w:rsidP="007C456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Los operadores a cargo de la prestación de los servicios a cargo de la </w:t>
            </w:r>
            <w:r w:rsidR="007B7469" w:rsidRPr="00E8057F">
              <w:rPr>
                <w:rFonts w:eastAsia="Times New Roman" w:cs="Calibri"/>
                <w:lang w:eastAsia="es-CO"/>
              </w:rPr>
              <w:t>UAESP</w:t>
            </w:r>
            <w:r w:rsidRPr="00E8057F">
              <w:rPr>
                <w:rFonts w:eastAsia="Times New Roman" w:cs="Calibri"/>
                <w:lang w:eastAsia="es-CO"/>
              </w:rPr>
              <w:t xml:space="preserve"> tienen la responsabilidad de garantizar los derechos laborales y promover un entorno de trabajo seguro y sin riesgos para todos los trabajadores.</w:t>
            </w:r>
          </w:p>
        </w:tc>
      </w:tr>
      <w:tr w:rsidR="00882E04" w:rsidRPr="00E8057F" w14:paraId="34D33011" w14:textId="77777777" w:rsidTr="00F32D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hideMark/>
          </w:tcPr>
          <w:p w14:paraId="0BAD418D" w14:textId="77777777" w:rsidR="00882E04" w:rsidRPr="00E8057F" w:rsidRDefault="00882E04" w:rsidP="007C456E">
            <w:pPr>
              <w:jc w:val="both"/>
              <w:rPr>
                <w:rFonts w:eastAsia="Times New Roman" w:cs="Calibri"/>
                <w:lang w:eastAsia="es-CO"/>
              </w:rPr>
            </w:pPr>
            <w:r w:rsidRPr="00E8057F">
              <w:rPr>
                <w:rFonts w:eastAsia="Times New Roman" w:cs="Calibri"/>
                <w:lang w:eastAsia="es-CO"/>
              </w:rPr>
              <w:t xml:space="preserve">11. CIUDADES Y COMUNIDADES </w:t>
            </w:r>
            <w:r w:rsidRPr="00E8057F">
              <w:rPr>
                <w:rFonts w:eastAsia="Times New Roman" w:cs="Calibri"/>
                <w:lang w:eastAsia="es-CO"/>
              </w:rPr>
              <w:lastRenderedPageBreak/>
              <w:t>SOSTENIBLES (Lograr que las ciudades y los asentamientos humanos sean inclusivos, seguros, resilientes y sostenibles)</w:t>
            </w:r>
          </w:p>
        </w:tc>
        <w:tc>
          <w:tcPr>
            <w:tcW w:w="3402" w:type="dxa"/>
            <w:vMerge w:val="restart"/>
            <w:vAlign w:val="center"/>
            <w:hideMark/>
          </w:tcPr>
          <w:p w14:paraId="10B87EF7" w14:textId="77777777" w:rsidR="00882E04" w:rsidRPr="00E8057F" w:rsidRDefault="00882E04"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lastRenderedPageBreak/>
              <w:t xml:space="preserve">11.6 De aquí a 2030, reducir el impacto ambiental negativo per </w:t>
            </w:r>
            <w:r w:rsidRPr="00E8057F">
              <w:rPr>
                <w:rFonts w:eastAsia="Times New Roman" w:cs="Calibri"/>
                <w:lang w:eastAsia="es-CO"/>
              </w:rPr>
              <w:lastRenderedPageBreak/>
              <w:t>cápita de las ciudades, incluso prestando especial atención a la calidad del aire y la gestión de los desechos municipales y de otro tipo</w:t>
            </w:r>
          </w:p>
        </w:tc>
        <w:tc>
          <w:tcPr>
            <w:tcW w:w="3541" w:type="dxa"/>
            <w:vAlign w:val="center"/>
            <w:hideMark/>
          </w:tcPr>
          <w:p w14:paraId="10EB7AD0" w14:textId="0E4359E4" w:rsidR="00882E04" w:rsidRPr="00E8057F" w:rsidRDefault="00882E04"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lastRenderedPageBreak/>
              <w:t xml:space="preserve">Garantizar la operación y las obras para el mejoramiento de la </w:t>
            </w:r>
            <w:r w:rsidRPr="00E8057F">
              <w:rPr>
                <w:rFonts w:eastAsia="Times New Roman" w:cs="Calibri"/>
                <w:lang w:eastAsia="es-CO"/>
              </w:rPr>
              <w:lastRenderedPageBreak/>
              <w:t xml:space="preserve">disposición final de los residuos en el Relleno Sanitario Doña Juana - RSDJ </w:t>
            </w:r>
          </w:p>
        </w:tc>
      </w:tr>
      <w:tr w:rsidR="00882E04" w:rsidRPr="00E8057F" w14:paraId="798F6E10" w14:textId="77777777" w:rsidTr="00F32D34">
        <w:trPr>
          <w:trHeight w:val="402"/>
        </w:trPr>
        <w:tc>
          <w:tcPr>
            <w:cnfStyle w:val="001000000000" w:firstRow="0" w:lastRow="0" w:firstColumn="1" w:lastColumn="0" w:oddVBand="0" w:evenVBand="0" w:oddHBand="0" w:evenHBand="0" w:firstRowFirstColumn="0" w:firstRowLastColumn="0" w:lastRowFirstColumn="0" w:lastRowLastColumn="0"/>
            <w:tcW w:w="2547" w:type="dxa"/>
            <w:vMerge/>
            <w:vAlign w:val="center"/>
            <w:hideMark/>
          </w:tcPr>
          <w:p w14:paraId="24E7BFFD" w14:textId="77777777" w:rsidR="00882E04" w:rsidRPr="00E8057F" w:rsidRDefault="00882E04" w:rsidP="007C456E">
            <w:pPr>
              <w:jc w:val="both"/>
              <w:rPr>
                <w:rFonts w:eastAsia="Times New Roman" w:cs="Calibri"/>
                <w:lang w:eastAsia="es-CO"/>
              </w:rPr>
            </w:pPr>
          </w:p>
        </w:tc>
        <w:tc>
          <w:tcPr>
            <w:tcW w:w="3402" w:type="dxa"/>
            <w:vMerge/>
            <w:vAlign w:val="center"/>
            <w:hideMark/>
          </w:tcPr>
          <w:p w14:paraId="69BD0F25" w14:textId="77777777" w:rsidR="00882E04" w:rsidRPr="00E8057F" w:rsidRDefault="00882E04" w:rsidP="007C456E">
            <w:pPr>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c>
          <w:tcPr>
            <w:tcW w:w="3541" w:type="dxa"/>
            <w:vAlign w:val="center"/>
            <w:hideMark/>
          </w:tcPr>
          <w:p w14:paraId="14FAEE2A" w14:textId="421F0F37" w:rsidR="00882E04" w:rsidRPr="00E8057F" w:rsidRDefault="00882E04" w:rsidP="007C456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Campañas de sensibilización sobre la separación de los residuos en la fuente.</w:t>
            </w:r>
          </w:p>
        </w:tc>
      </w:tr>
      <w:tr w:rsidR="00882E04" w:rsidRPr="00E8057F" w14:paraId="4C45CA3B" w14:textId="77777777" w:rsidTr="00F32D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47" w:type="dxa"/>
            <w:vMerge/>
            <w:vAlign w:val="center"/>
            <w:hideMark/>
          </w:tcPr>
          <w:p w14:paraId="0E7E4D7B" w14:textId="77777777" w:rsidR="00882E04" w:rsidRPr="00E8057F" w:rsidRDefault="00882E04" w:rsidP="007C456E">
            <w:pPr>
              <w:jc w:val="both"/>
              <w:rPr>
                <w:rFonts w:eastAsia="Times New Roman" w:cs="Calibri"/>
                <w:lang w:eastAsia="es-CO"/>
              </w:rPr>
            </w:pPr>
          </w:p>
        </w:tc>
        <w:tc>
          <w:tcPr>
            <w:tcW w:w="3402" w:type="dxa"/>
            <w:vMerge/>
            <w:vAlign w:val="center"/>
            <w:hideMark/>
          </w:tcPr>
          <w:p w14:paraId="1E6F304B" w14:textId="77777777" w:rsidR="00882E04" w:rsidRPr="00E8057F" w:rsidRDefault="00882E04" w:rsidP="007C456E">
            <w:pPr>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c>
          <w:tcPr>
            <w:tcW w:w="3541" w:type="dxa"/>
            <w:vAlign w:val="center"/>
            <w:hideMark/>
          </w:tcPr>
          <w:p w14:paraId="660B61BA" w14:textId="77777777" w:rsidR="00882E04" w:rsidRPr="00E8057F" w:rsidRDefault="00882E04"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Transporte de residuos sólidos en el marco de la operación incluyendo la recolección y transporte de residuos de los puntos críticos.</w:t>
            </w:r>
          </w:p>
          <w:p w14:paraId="2A9C6119" w14:textId="20D83844" w:rsidR="00857855" w:rsidRPr="00E8057F" w:rsidRDefault="00857855" w:rsidP="007C456E">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Modernización de los vehículos recolectores de residuos.</w:t>
            </w:r>
          </w:p>
        </w:tc>
      </w:tr>
      <w:tr w:rsidR="00882E04" w:rsidRPr="00E8057F" w14:paraId="43E4C9B4" w14:textId="77777777" w:rsidTr="00F32D34">
        <w:trPr>
          <w:trHeight w:val="402"/>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64713C21" w14:textId="77777777" w:rsidR="00882E04" w:rsidRPr="00E8057F" w:rsidRDefault="00882E04" w:rsidP="007C456E">
            <w:pPr>
              <w:jc w:val="both"/>
              <w:rPr>
                <w:rFonts w:eastAsia="Times New Roman" w:cs="Calibri"/>
                <w:lang w:eastAsia="es-CO"/>
              </w:rPr>
            </w:pPr>
          </w:p>
        </w:tc>
        <w:tc>
          <w:tcPr>
            <w:tcW w:w="3402" w:type="dxa"/>
            <w:vMerge/>
            <w:vAlign w:val="center"/>
          </w:tcPr>
          <w:p w14:paraId="671CBA84" w14:textId="77777777" w:rsidR="00882E04" w:rsidRPr="00E8057F" w:rsidRDefault="00882E04" w:rsidP="007C456E">
            <w:pPr>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c>
          <w:tcPr>
            <w:tcW w:w="3541" w:type="dxa"/>
            <w:vAlign w:val="center"/>
          </w:tcPr>
          <w:p w14:paraId="602647D4" w14:textId="77777777" w:rsidR="00882E04" w:rsidRPr="00E8057F" w:rsidRDefault="00882E04" w:rsidP="007C456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Encaminados hacia una ciudad inteligente la UAESP cuenta con seguimiento en tiempo real a la prestación del servicio de recolección de residuos mediante la plataforma de seguimiento satelital SIGAB.</w:t>
            </w:r>
          </w:p>
          <w:p w14:paraId="542C55CF" w14:textId="5C6DD7B1" w:rsidR="00882E04" w:rsidRPr="00E8057F" w:rsidRDefault="00882E04" w:rsidP="007C456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Así mismo, </w:t>
            </w:r>
            <w:r w:rsidR="00857855" w:rsidRPr="00E8057F">
              <w:rPr>
                <w:rFonts w:eastAsia="Times New Roman" w:cs="Calibri"/>
                <w:lang w:eastAsia="es-CO"/>
              </w:rPr>
              <w:t>se cuenta seguimiento satelital a vehículos destinados a la verificación de la operación del servicio de alumbrado públic</w:t>
            </w:r>
            <w:r w:rsidR="002940C5" w:rsidRPr="00E8057F">
              <w:rPr>
                <w:rFonts w:eastAsia="Times New Roman" w:cs="Calibri"/>
                <w:lang w:eastAsia="es-CO"/>
              </w:rPr>
              <w:t>o.</w:t>
            </w:r>
          </w:p>
        </w:tc>
      </w:tr>
      <w:tr w:rsidR="00BD7A7A" w:rsidRPr="00E8057F" w14:paraId="3D23437C" w14:textId="77777777" w:rsidTr="007C456E">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0FA4F553" w14:textId="663AB607" w:rsidR="00BD7A7A" w:rsidRPr="00E8057F" w:rsidRDefault="00BD7A7A" w:rsidP="00BD7A7A">
            <w:pPr>
              <w:jc w:val="both"/>
              <w:rPr>
                <w:rFonts w:eastAsia="Times New Roman" w:cs="Calibri"/>
                <w:lang w:eastAsia="es-CO"/>
              </w:rPr>
            </w:pPr>
            <w:r w:rsidRPr="00E8057F">
              <w:rPr>
                <w:rFonts w:eastAsia="Times New Roman" w:cs="Calibri"/>
                <w:lang w:eastAsia="es-CO"/>
              </w:rPr>
              <w:t>12. PRODUCCIÓN Y CONSUMOS RESPONSABLES (Garantizar patrones de consumo y producción sostenibles)</w:t>
            </w:r>
          </w:p>
        </w:tc>
        <w:tc>
          <w:tcPr>
            <w:tcW w:w="3402" w:type="dxa"/>
            <w:vAlign w:val="center"/>
          </w:tcPr>
          <w:p w14:paraId="46643B1B" w14:textId="4D38B0DC" w:rsidR="00BD7A7A" w:rsidRPr="00E8057F" w:rsidRDefault="00BD7A7A" w:rsidP="00D70118">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12.1</w:t>
            </w:r>
            <w:r w:rsidR="00D70118" w:rsidRPr="00E8057F">
              <w:rPr>
                <w:rFonts w:eastAsia="Times New Roman" w:cs="Calibri"/>
                <w:lang w:eastAsia="es-CO"/>
              </w:rPr>
              <w:t xml:space="preserve"> </w:t>
            </w:r>
            <w:r w:rsidRPr="00E8057F">
              <w:rPr>
                <w:rFonts w:eastAsia="Times New Roman" w:cs="Calibri"/>
                <w:lang w:eastAsia="es-CO"/>
              </w:rPr>
              <w:t>Implementar el marco decenal de programas sobre consumo y producción sostenibles, tomando medidas todos los países, con los países desarrollados tomando la iniciativa, teniendo en cuenta el desarrollo y las capacidades de los países en desarrollo</w:t>
            </w:r>
          </w:p>
        </w:tc>
        <w:tc>
          <w:tcPr>
            <w:tcW w:w="3541" w:type="dxa"/>
            <w:vAlign w:val="center"/>
          </w:tcPr>
          <w:p w14:paraId="274E4E2C" w14:textId="0EA07768" w:rsidR="00BD7A7A" w:rsidRDefault="00BD7A7A"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p w14:paraId="0E3C5F5E" w14:textId="3529B121" w:rsidR="0021076C" w:rsidRPr="00E8057F" w:rsidRDefault="0021076C"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Pr>
                <w:rFonts w:eastAsia="Times New Roman" w:cs="Calibri"/>
                <w:lang w:eastAsia="es-CO"/>
              </w:rPr>
              <w:t>Se cuenta con directorio del marco de gestión de residuos sólidos enfocado a conectar los actores de la cadena de valor para promover consumo y producción sostenible.</w:t>
            </w:r>
          </w:p>
        </w:tc>
      </w:tr>
      <w:tr w:rsidR="00BD7A7A" w:rsidRPr="00E8057F" w14:paraId="2080D92B" w14:textId="77777777" w:rsidTr="00F32D34">
        <w:trPr>
          <w:trHeight w:val="1143"/>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BE4D5" w:themeFill="accent2" w:themeFillTint="33"/>
            <w:vAlign w:val="center"/>
          </w:tcPr>
          <w:p w14:paraId="384C3335" w14:textId="77777777" w:rsidR="00BD7A7A" w:rsidRPr="00E8057F" w:rsidRDefault="00BD7A7A" w:rsidP="00BD7A7A">
            <w:pPr>
              <w:jc w:val="both"/>
              <w:rPr>
                <w:rFonts w:eastAsia="Times New Roman" w:cs="Calibri"/>
                <w:lang w:eastAsia="es-CO"/>
              </w:rPr>
            </w:pPr>
          </w:p>
        </w:tc>
        <w:tc>
          <w:tcPr>
            <w:tcW w:w="3402" w:type="dxa"/>
            <w:shd w:val="clear" w:color="auto" w:fill="FBE4D5" w:themeFill="accent2" w:themeFillTint="33"/>
            <w:vAlign w:val="center"/>
          </w:tcPr>
          <w:p w14:paraId="637040A0" w14:textId="16A86096" w:rsidR="00BD7A7A" w:rsidRPr="00E8057F" w:rsidRDefault="00BD7A7A"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12.2</w:t>
            </w:r>
            <w:r w:rsidR="00D70118" w:rsidRPr="00E8057F">
              <w:rPr>
                <w:rFonts w:eastAsia="Times New Roman" w:cs="Calibri"/>
                <w:lang w:eastAsia="es-CO"/>
              </w:rPr>
              <w:t xml:space="preserve"> </w:t>
            </w:r>
            <w:r w:rsidRPr="00E8057F">
              <w:rPr>
                <w:rFonts w:eastAsia="Times New Roman" w:cs="Calibri"/>
                <w:lang w:eastAsia="es-CO"/>
              </w:rPr>
              <w:t>Para 2030, lograr la gestión sostenible y el uso eficiente de los recursos naturales.</w:t>
            </w:r>
          </w:p>
          <w:p w14:paraId="5E5548E0" w14:textId="77777777" w:rsidR="00BD7A7A" w:rsidRPr="00E8057F" w:rsidRDefault="00BD7A7A"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c>
          <w:tcPr>
            <w:tcW w:w="3541" w:type="dxa"/>
            <w:shd w:val="clear" w:color="auto" w:fill="FBE4D5" w:themeFill="accent2" w:themeFillTint="33"/>
            <w:vAlign w:val="center"/>
          </w:tcPr>
          <w:p w14:paraId="08D9A44D" w14:textId="6C10AFCD" w:rsidR="00BD7A7A" w:rsidRPr="00E8057F" w:rsidRDefault="00C67296"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Uso eficiente de la energía a través de la aprobación de proyectos fotométricos que cumplan con lo establecido en el RETILAP.</w:t>
            </w:r>
          </w:p>
        </w:tc>
      </w:tr>
      <w:tr w:rsidR="00BD7A7A" w:rsidRPr="00E8057F" w14:paraId="585B3997" w14:textId="77777777" w:rsidTr="00D70118">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0A180D22" w14:textId="77777777" w:rsidR="00BD7A7A" w:rsidRPr="00E8057F" w:rsidRDefault="00BD7A7A" w:rsidP="00BD7A7A">
            <w:pPr>
              <w:jc w:val="both"/>
              <w:rPr>
                <w:rFonts w:eastAsia="Times New Roman" w:cs="Calibri"/>
                <w:lang w:eastAsia="es-CO"/>
              </w:rPr>
            </w:pPr>
          </w:p>
        </w:tc>
        <w:tc>
          <w:tcPr>
            <w:tcW w:w="3402" w:type="dxa"/>
            <w:vAlign w:val="center"/>
          </w:tcPr>
          <w:p w14:paraId="57BC81E7" w14:textId="6C7DA970" w:rsidR="00BD7A7A" w:rsidRPr="00E8057F" w:rsidRDefault="00BD7A7A" w:rsidP="00D70118">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12.5</w:t>
            </w:r>
            <w:r w:rsidR="00D70118" w:rsidRPr="00E8057F">
              <w:rPr>
                <w:rFonts w:eastAsia="Times New Roman" w:cs="Calibri"/>
                <w:lang w:eastAsia="es-CO"/>
              </w:rPr>
              <w:t xml:space="preserve"> </w:t>
            </w:r>
            <w:r w:rsidRPr="00E8057F">
              <w:rPr>
                <w:rFonts w:eastAsia="Times New Roman" w:cs="Calibri"/>
                <w:lang w:eastAsia="es-CO"/>
              </w:rPr>
              <w:t>Para 2030, reducir sustancialmente la generación de residuos a través de la prevención, reducción, reciclaje y reutilización</w:t>
            </w:r>
          </w:p>
        </w:tc>
        <w:tc>
          <w:tcPr>
            <w:tcW w:w="3541" w:type="dxa"/>
            <w:vAlign w:val="center"/>
          </w:tcPr>
          <w:p w14:paraId="75D06FBA" w14:textId="5CD66B39" w:rsidR="00BD7A7A" w:rsidRPr="00E8057F" w:rsidRDefault="00C67296"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Modernización de los hornos crematorios orientada a la disminución de CO2 (emisión de gases)</w:t>
            </w:r>
          </w:p>
        </w:tc>
      </w:tr>
      <w:tr w:rsidR="00BD7A7A" w:rsidRPr="00E8057F" w14:paraId="21BB9B68" w14:textId="77777777" w:rsidTr="0034762E">
        <w:trPr>
          <w:trHeight w:val="353"/>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BE4D5" w:themeFill="accent2" w:themeFillTint="33"/>
            <w:vAlign w:val="center"/>
          </w:tcPr>
          <w:p w14:paraId="3EBD3BFC" w14:textId="77777777" w:rsidR="00BD7A7A" w:rsidRPr="00E8057F" w:rsidRDefault="00BD7A7A" w:rsidP="00BD7A7A">
            <w:pPr>
              <w:jc w:val="both"/>
              <w:rPr>
                <w:rFonts w:eastAsia="Times New Roman" w:cs="Calibri"/>
                <w:lang w:eastAsia="es-CO"/>
              </w:rPr>
            </w:pPr>
          </w:p>
        </w:tc>
        <w:tc>
          <w:tcPr>
            <w:tcW w:w="3402" w:type="dxa"/>
            <w:shd w:val="clear" w:color="auto" w:fill="FBE4D5" w:themeFill="accent2" w:themeFillTint="33"/>
            <w:vAlign w:val="center"/>
          </w:tcPr>
          <w:p w14:paraId="7CB2FC20" w14:textId="6C22355E" w:rsidR="00BD7A7A" w:rsidRPr="00E8057F" w:rsidRDefault="00BD7A7A"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12.7</w:t>
            </w:r>
            <w:r w:rsidR="00D70118" w:rsidRPr="00E8057F">
              <w:rPr>
                <w:rFonts w:eastAsia="Times New Roman" w:cs="Calibri"/>
                <w:lang w:eastAsia="es-CO"/>
              </w:rPr>
              <w:t xml:space="preserve"> </w:t>
            </w:r>
            <w:r w:rsidRPr="00E8057F">
              <w:rPr>
                <w:rFonts w:eastAsia="Times New Roman" w:cs="Calibri"/>
                <w:lang w:eastAsia="es-CO"/>
              </w:rPr>
              <w:t>Promover prácticas de contratación pública que sean sostenibles, de conformidad con las políticas y prioridades nacionales.</w:t>
            </w:r>
          </w:p>
        </w:tc>
        <w:tc>
          <w:tcPr>
            <w:tcW w:w="3541" w:type="dxa"/>
            <w:shd w:val="clear" w:color="auto" w:fill="FBE4D5" w:themeFill="accent2" w:themeFillTint="33"/>
            <w:vAlign w:val="center"/>
          </w:tcPr>
          <w:p w14:paraId="797F3FB2" w14:textId="3136E5AC" w:rsidR="00BD7A7A" w:rsidRPr="00E8057F" w:rsidRDefault="007B6C4B"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Actualización de las fichas de compra sostenible, en el formato expedido por el Ministerio de Vivienda y Ambiente</w:t>
            </w:r>
          </w:p>
        </w:tc>
      </w:tr>
      <w:tr w:rsidR="00BD7A7A" w:rsidRPr="00E8057F" w14:paraId="5C24F3F7" w14:textId="77777777" w:rsidTr="00F32D34">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545B57B" w14:textId="77777777" w:rsidR="00BD7A7A" w:rsidRPr="00E8057F" w:rsidRDefault="00BD7A7A" w:rsidP="00BD7A7A">
            <w:pPr>
              <w:jc w:val="both"/>
              <w:rPr>
                <w:rFonts w:eastAsia="Times New Roman" w:cs="Calibri"/>
                <w:lang w:eastAsia="es-CO"/>
              </w:rPr>
            </w:pPr>
          </w:p>
        </w:tc>
        <w:tc>
          <w:tcPr>
            <w:tcW w:w="3402" w:type="dxa"/>
            <w:vAlign w:val="center"/>
          </w:tcPr>
          <w:p w14:paraId="4E4FFB36" w14:textId="2B829168" w:rsidR="00BD7A7A" w:rsidRPr="00E8057F" w:rsidRDefault="00BD7A7A"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12.8</w:t>
            </w:r>
            <w:r w:rsidR="00D70118" w:rsidRPr="00E8057F">
              <w:rPr>
                <w:rFonts w:eastAsia="Times New Roman" w:cs="Calibri"/>
                <w:lang w:eastAsia="es-CO"/>
              </w:rPr>
              <w:t xml:space="preserve"> </w:t>
            </w:r>
            <w:r w:rsidRPr="00E8057F">
              <w:rPr>
                <w:rFonts w:eastAsia="Times New Roman" w:cs="Calibri"/>
                <w:lang w:eastAsia="es-CO"/>
              </w:rPr>
              <w:t>Para 2030, garantizar que las personas de todas partes tengan la información y la conciencia pertinentes para el desarrollo sostenible y los estilos de vida en armonía con la naturaleza.</w:t>
            </w:r>
          </w:p>
        </w:tc>
        <w:tc>
          <w:tcPr>
            <w:tcW w:w="3541" w:type="dxa"/>
            <w:vAlign w:val="center"/>
          </w:tcPr>
          <w:p w14:paraId="6D65240D" w14:textId="3A429031" w:rsidR="00BD7A7A" w:rsidRPr="00E8057F" w:rsidRDefault="00BD7A7A"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r>
      <w:tr w:rsidR="00E841AE" w:rsidRPr="00E8057F" w14:paraId="47E6AACE" w14:textId="77777777" w:rsidTr="00C14458">
        <w:trPr>
          <w:trHeight w:val="454"/>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hideMark/>
          </w:tcPr>
          <w:p w14:paraId="2C6C2495" w14:textId="77777777" w:rsidR="00E841AE" w:rsidRPr="00E8057F" w:rsidRDefault="00E841AE" w:rsidP="00BD7A7A">
            <w:pPr>
              <w:jc w:val="both"/>
              <w:rPr>
                <w:rFonts w:eastAsia="Times New Roman" w:cs="Calibri"/>
                <w:lang w:eastAsia="es-CO"/>
              </w:rPr>
            </w:pPr>
            <w:r w:rsidRPr="00E8057F">
              <w:rPr>
                <w:rFonts w:eastAsia="Times New Roman" w:cs="Calibri"/>
                <w:lang w:eastAsia="es-CO"/>
              </w:rPr>
              <w:t>13. ACCIÓN POR EL CLIMA (Adoptar medidas urgentes para combatir el cambio climático y sus efectos)</w:t>
            </w:r>
          </w:p>
        </w:tc>
        <w:tc>
          <w:tcPr>
            <w:tcW w:w="0" w:type="dxa"/>
            <w:vMerge w:val="restart"/>
            <w:vAlign w:val="center"/>
            <w:hideMark/>
          </w:tcPr>
          <w:p w14:paraId="4BC4383A" w14:textId="77777777" w:rsidR="00E841AE" w:rsidRPr="00E8057F" w:rsidRDefault="00E841AE"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13.3 Mejorar la educación, la sensibilización y la capacidad humana e institucional respecto de la mitigación del cambio climático, la adaptación a él, la reducción de sus efectos y la alerta temprana</w:t>
            </w:r>
          </w:p>
        </w:tc>
        <w:tc>
          <w:tcPr>
            <w:tcW w:w="0" w:type="dxa"/>
            <w:vAlign w:val="center"/>
            <w:hideMark/>
          </w:tcPr>
          <w:p w14:paraId="41ADE994" w14:textId="20BC30B5" w:rsidR="00E841AE" w:rsidRPr="00E8057F" w:rsidRDefault="00E841AE">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Operación de la Planta de BIOGAS – RSDJ.</w:t>
            </w:r>
          </w:p>
        </w:tc>
      </w:tr>
      <w:tr w:rsidR="00E841AE" w:rsidRPr="00E8057F" w14:paraId="59C457E4" w14:textId="77777777" w:rsidTr="00C1445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4CCACF01" w14:textId="77777777" w:rsidR="00E841AE" w:rsidRPr="00E8057F" w:rsidRDefault="00E841AE" w:rsidP="00BD7A7A">
            <w:pPr>
              <w:jc w:val="both"/>
              <w:rPr>
                <w:rFonts w:eastAsia="Times New Roman" w:cs="Calibri"/>
                <w:lang w:eastAsia="es-CO"/>
              </w:rPr>
            </w:pPr>
          </w:p>
        </w:tc>
        <w:tc>
          <w:tcPr>
            <w:tcW w:w="0" w:type="dxa"/>
            <w:vMerge/>
            <w:vAlign w:val="center"/>
          </w:tcPr>
          <w:p w14:paraId="1B743680" w14:textId="77777777" w:rsidR="00E841AE" w:rsidRPr="00E8057F" w:rsidRDefault="00E841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c>
          <w:tcPr>
            <w:tcW w:w="0" w:type="dxa"/>
            <w:vAlign w:val="center"/>
          </w:tcPr>
          <w:p w14:paraId="545B9DDF" w14:textId="18609DF2" w:rsidR="00E841AE" w:rsidRPr="00E8057F" w:rsidRDefault="00E841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Campañas de sensibilización sobre la separación de los residuos en la fuente.</w:t>
            </w:r>
          </w:p>
        </w:tc>
      </w:tr>
      <w:tr w:rsidR="00E841AE" w:rsidRPr="00E8057F" w14:paraId="6C4559FB" w14:textId="77777777" w:rsidTr="00C14458">
        <w:trPr>
          <w:trHeight w:val="807"/>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755B4F1E" w14:textId="77777777" w:rsidR="00E841AE" w:rsidRPr="00E8057F" w:rsidRDefault="00E841AE" w:rsidP="00BD7A7A">
            <w:pPr>
              <w:jc w:val="both"/>
              <w:rPr>
                <w:rFonts w:eastAsia="Times New Roman" w:cs="Calibri"/>
                <w:lang w:eastAsia="es-CO"/>
              </w:rPr>
            </w:pPr>
          </w:p>
        </w:tc>
        <w:tc>
          <w:tcPr>
            <w:tcW w:w="0" w:type="dxa"/>
            <w:vMerge/>
            <w:vAlign w:val="center"/>
          </w:tcPr>
          <w:p w14:paraId="4AF7254A" w14:textId="77777777" w:rsidR="00E841AE" w:rsidRPr="00E8057F" w:rsidRDefault="00E841AE"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p>
        </w:tc>
        <w:tc>
          <w:tcPr>
            <w:tcW w:w="0" w:type="dxa"/>
            <w:vAlign w:val="center"/>
          </w:tcPr>
          <w:p w14:paraId="065E573C" w14:textId="77648EB7" w:rsidR="00E841AE" w:rsidRPr="00E8057F" w:rsidRDefault="00E841AE"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Modernización de los hornos crematorios orientada a la disminución de CO2 (emisión de gases)</w:t>
            </w:r>
          </w:p>
        </w:tc>
      </w:tr>
      <w:tr w:rsidR="00E841AE" w:rsidRPr="00E8057F" w14:paraId="0043065C" w14:textId="77777777" w:rsidTr="00C14458">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7E178B77" w14:textId="77777777" w:rsidR="00E841AE" w:rsidRPr="00E8057F" w:rsidRDefault="00E841AE" w:rsidP="00BD7A7A">
            <w:pPr>
              <w:jc w:val="both"/>
              <w:rPr>
                <w:rFonts w:eastAsia="Times New Roman" w:cs="Calibri"/>
                <w:lang w:eastAsia="es-CO"/>
              </w:rPr>
            </w:pPr>
          </w:p>
        </w:tc>
        <w:tc>
          <w:tcPr>
            <w:tcW w:w="0" w:type="dxa"/>
            <w:vMerge/>
            <w:vAlign w:val="center"/>
          </w:tcPr>
          <w:p w14:paraId="684E5900" w14:textId="77777777" w:rsidR="00E841AE" w:rsidRPr="00E8057F" w:rsidRDefault="00E841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c>
          <w:tcPr>
            <w:tcW w:w="0" w:type="dxa"/>
            <w:vAlign w:val="center"/>
          </w:tcPr>
          <w:p w14:paraId="20B9501C" w14:textId="74522D07" w:rsidR="00E841AE" w:rsidRPr="00E8057F" w:rsidRDefault="00E841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Modernización de las luminarias de alumbrado público</w:t>
            </w:r>
          </w:p>
        </w:tc>
      </w:tr>
      <w:tr w:rsidR="002E73AE" w:rsidRPr="00E8057F" w14:paraId="6CE84541" w14:textId="77777777" w:rsidTr="00C14458">
        <w:trPr>
          <w:trHeight w:val="825"/>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hideMark/>
          </w:tcPr>
          <w:p w14:paraId="77338B15" w14:textId="77777777" w:rsidR="002E73AE" w:rsidRPr="00E8057F" w:rsidRDefault="002E73AE" w:rsidP="00BD7A7A">
            <w:pPr>
              <w:jc w:val="both"/>
              <w:rPr>
                <w:rFonts w:eastAsia="Times New Roman" w:cs="Calibri"/>
                <w:lang w:eastAsia="es-CO"/>
              </w:rPr>
            </w:pPr>
            <w:r w:rsidRPr="00E8057F">
              <w:rPr>
                <w:rFonts w:eastAsia="Times New Roman" w:cs="Calibri"/>
                <w:lang w:eastAsia="es-CO"/>
              </w:rPr>
              <w:t>15. VIDA DE ECOSISTEMAS TERRESTRES (Gestionar sosteniblemente los bosques, luchar contra la desertificación, detener e invertir la degradación de las tierras y detener la pérdida de biodiversidad)</w:t>
            </w:r>
          </w:p>
        </w:tc>
        <w:tc>
          <w:tcPr>
            <w:tcW w:w="0" w:type="dxa"/>
            <w:vMerge w:val="restart"/>
            <w:vAlign w:val="center"/>
            <w:hideMark/>
          </w:tcPr>
          <w:p w14:paraId="0F6B9433" w14:textId="77777777" w:rsidR="002E73AE" w:rsidRPr="00E8057F" w:rsidRDefault="002E73AE"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15.3 Para 2030, luchar contra la desertificación, rehabilitar las tierras y los suelos degradados, incluidas las tierras afectadas por la desertificación, la sequía y las inundaciones, y procurar lograr un mundo con una degradación neutra del suelo</w:t>
            </w:r>
          </w:p>
        </w:tc>
        <w:tc>
          <w:tcPr>
            <w:tcW w:w="0" w:type="dxa"/>
            <w:vAlign w:val="center"/>
            <w:hideMark/>
          </w:tcPr>
          <w:p w14:paraId="2D212DD6" w14:textId="6EA56372" w:rsidR="002E73AE" w:rsidRPr="00E8057F" w:rsidRDefault="002E73AE" w:rsidP="00BD7A7A">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Cumplimiento de la licencia ambiental para la operación del RSDJ mediante la reforestación de predios dentro y en las zonas aledañas del relleno sanitario.</w:t>
            </w:r>
          </w:p>
        </w:tc>
      </w:tr>
      <w:tr w:rsidR="002E73AE" w:rsidRPr="00E8057F" w14:paraId="68BB5A88" w14:textId="77777777" w:rsidTr="00D7011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A5993BB" w14:textId="77777777" w:rsidR="002E73AE" w:rsidRPr="00E8057F" w:rsidRDefault="002E73AE" w:rsidP="00BD7A7A">
            <w:pPr>
              <w:jc w:val="both"/>
              <w:rPr>
                <w:rFonts w:eastAsia="Times New Roman" w:cs="Calibri"/>
                <w:lang w:eastAsia="es-CO"/>
              </w:rPr>
            </w:pPr>
          </w:p>
        </w:tc>
        <w:tc>
          <w:tcPr>
            <w:tcW w:w="3402" w:type="dxa"/>
            <w:vMerge/>
            <w:vAlign w:val="center"/>
          </w:tcPr>
          <w:p w14:paraId="79852CB2" w14:textId="77777777" w:rsidR="002E73AE" w:rsidRPr="00E8057F" w:rsidRDefault="002E73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c>
          <w:tcPr>
            <w:tcW w:w="3541" w:type="dxa"/>
            <w:vAlign w:val="center"/>
          </w:tcPr>
          <w:p w14:paraId="0510989C" w14:textId="10C9064C" w:rsidR="002E73AE" w:rsidRPr="00E8057F" w:rsidDel="00E841AE" w:rsidRDefault="002E73AE" w:rsidP="00BD7A7A">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Mediante la aprobación de los proyectos fotométricos se contempla infraestructura que protege los ecosistemas nocturnos (fauna y flora)</w:t>
            </w:r>
          </w:p>
        </w:tc>
      </w:tr>
      <w:tr w:rsidR="00DE10B3" w:rsidRPr="00E8057F" w14:paraId="7A029010" w14:textId="77777777" w:rsidTr="00DE10B3">
        <w:trPr>
          <w:trHeight w:val="880"/>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113F71DE" w14:textId="7A5390F6" w:rsidR="00DE10B3" w:rsidRPr="00E8057F" w:rsidRDefault="00DE10B3" w:rsidP="00DE10B3">
            <w:pPr>
              <w:jc w:val="both"/>
              <w:rPr>
                <w:rFonts w:eastAsia="Times New Roman" w:cs="Calibri"/>
                <w:lang w:eastAsia="es-CO"/>
              </w:rPr>
            </w:pPr>
            <w:r w:rsidRPr="00E8057F">
              <w:rPr>
                <w:rFonts w:eastAsia="Times New Roman" w:cs="Calibri"/>
                <w:lang w:eastAsia="es-CO"/>
              </w:rPr>
              <w:t>16. PAZ, JUSTICIA E INSTITUCIONES SÓLIDAS (Promover sociedades, justas, pacíficas e inclusivas)</w:t>
            </w:r>
          </w:p>
        </w:tc>
        <w:tc>
          <w:tcPr>
            <w:tcW w:w="3402" w:type="dxa"/>
            <w:vAlign w:val="center"/>
          </w:tcPr>
          <w:p w14:paraId="4A000C9E" w14:textId="46A1AD3C" w:rsidR="00DE10B3" w:rsidRPr="00E8057F" w:rsidRDefault="00DE10B3" w:rsidP="00D70118">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16.5 Reducir considerablemente la corrupción y el soborno en todas sus formas</w:t>
            </w:r>
          </w:p>
        </w:tc>
        <w:tc>
          <w:tcPr>
            <w:tcW w:w="3541" w:type="dxa"/>
            <w:vAlign w:val="center"/>
          </w:tcPr>
          <w:p w14:paraId="7EF0E15C" w14:textId="0D499891" w:rsidR="00DE10B3" w:rsidRPr="00E8057F" w:rsidRDefault="002B48FE" w:rsidP="00DE10B3">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Promo</w:t>
            </w:r>
            <w:r w:rsidR="005A06D8" w:rsidRPr="00E8057F">
              <w:rPr>
                <w:rFonts w:eastAsia="Times New Roman" w:cs="Calibri"/>
                <w:lang w:eastAsia="es-CO"/>
              </w:rPr>
              <w:t>ción de</w:t>
            </w:r>
            <w:r w:rsidRPr="00E8057F">
              <w:rPr>
                <w:rFonts w:eastAsia="Times New Roman" w:cs="Calibri"/>
                <w:lang w:eastAsia="es-CO"/>
              </w:rPr>
              <w:t xml:space="preserve"> los valores institucionales al interior de la entidad</w:t>
            </w:r>
            <w:r w:rsidR="005A06D8" w:rsidRPr="00E8057F">
              <w:rPr>
                <w:rFonts w:eastAsia="Times New Roman" w:cs="Calibri"/>
                <w:lang w:eastAsia="es-CO"/>
              </w:rPr>
              <w:t xml:space="preserve"> a través del código de integridad.</w:t>
            </w:r>
          </w:p>
        </w:tc>
      </w:tr>
      <w:tr w:rsidR="00DE10B3" w:rsidRPr="00E8057F" w14:paraId="1B908FFE" w14:textId="77777777" w:rsidTr="00DE10B3">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4B442196" w14:textId="77777777" w:rsidR="00DE10B3" w:rsidRPr="00E8057F" w:rsidRDefault="00DE10B3" w:rsidP="00DE10B3">
            <w:pPr>
              <w:jc w:val="both"/>
              <w:rPr>
                <w:rFonts w:eastAsia="Times New Roman" w:cs="Calibri"/>
                <w:lang w:eastAsia="es-CO"/>
              </w:rPr>
            </w:pPr>
          </w:p>
        </w:tc>
        <w:tc>
          <w:tcPr>
            <w:tcW w:w="3402" w:type="dxa"/>
            <w:vAlign w:val="center"/>
          </w:tcPr>
          <w:p w14:paraId="0FC957EE" w14:textId="7B15AC3E" w:rsidR="00DE10B3" w:rsidRPr="00E8057F" w:rsidRDefault="00DE10B3" w:rsidP="00DE10B3">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16.6 Crear a todos los niveles instituciones eficaces y transparentes que rindan cuentas</w:t>
            </w:r>
          </w:p>
        </w:tc>
        <w:tc>
          <w:tcPr>
            <w:tcW w:w="3541" w:type="dxa"/>
            <w:vAlign w:val="center"/>
          </w:tcPr>
          <w:p w14:paraId="3694AA1E" w14:textId="7AC50B4D" w:rsidR="00DE10B3" w:rsidRPr="00E8057F" w:rsidRDefault="002B48FE" w:rsidP="00DE10B3">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Genera</w:t>
            </w:r>
            <w:r w:rsidR="005A06D8" w:rsidRPr="00E8057F">
              <w:rPr>
                <w:rFonts w:eastAsia="Times New Roman" w:cs="Calibri"/>
                <w:lang w:eastAsia="es-CO"/>
              </w:rPr>
              <w:t>ción de</w:t>
            </w:r>
            <w:r w:rsidRPr="00E8057F">
              <w:rPr>
                <w:rFonts w:eastAsia="Times New Roman" w:cs="Calibri"/>
                <w:lang w:eastAsia="es-CO"/>
              </w:rPr>
              <w:t xml:space="preserve"> procesos de contratación abiertos e inclusivos.</w:t>
            </w:r>
          </w:p>
          <w:p w14:paraId="3A3EF02C" w14:textId="2AABDA16" w:rsidR="005A06D8" w:rsidRPr="00E8057F" w:rsidRDefault="005A06D8" w:rsidP="00DE10B3">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Desarrollo de las mesas de dialogo sectorial de rendición de cuentas. </w:t>
            </w:r>
          </w:p>
        </w:tc>
      </w:tr>
      <w:tr w:rsidR="00DE10B3" w:rsidRPr="00E8057F" w14:paraId="14DC1724" w14:textId="77777777" w:rsidTr="00F32D34">
        <w:trPr>
          <w:trHeight w:val="880"/>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3F0CC1B" w14:textId="77777777" w:rsidR="00DE10B3" w:rsidRPr="00E8057F" w:rsidRDefault="00DE10B3" w:rsidP="00DE10B3">
            <w:pPr>
              <w:jc w:val="both"/>
              <w:rPr>
                <w:rFonts w:eastAsia="Times New Roman" w:cs="Calibri"/>
                <w:lang w:eastAsia="es-CO"/>
              </w:rPr>
            </w:pPr>
          </w:p>
        </w:tc>
        <w:tc>
          <w:tcPr>
            <w:tcW w:w="3402" w:type="dxa"/>
            <w:vAlign w:val="center"/>
          </w:tcPr>
          <w:p w14:paraId="17D2F091" w14:textId="097DCE26" w:rsidR="00DE10B3" w:rsidRPr="00E8057F" w:rsidRDefault="00DE10B3" w:rsidP="00DE10B3">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16.7 Garantizar la adopción en todos los niveles de decisiones inclusivas, participativas y representativas que respondan a las necesidades</w:t>
            </w:r>
          </w:p>
        </w:tc>
        <w:tc>
          <w:tcPr>
            <w:tcW w:w="3541" w:type="dxa"/>
            <w:vAlign w:val="center"/>
          </w:tcPr>
          <w:p w14:paraId="1263AC77" w14:textId="2256AF89" w:rsidR="00DE10B3" w:rsidRPr="00E8057F" w:rsidRDefault="005A06D8" w:rsidP="00DE10B3">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Se desarrollan espacios participativos para la toma de decisiones con los distintos grupos de interés. </w:t>
            </w:r>
          </w:p>
        </w:tc>
      </w:tr>
      <w:tr w:rsidR="00DE10B3" w:rsidRPr="00E8057F" w14:paraId="27972478" w14:textId="77777777" w:rsidTr="00F32D34">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7ACB878D" w14:textId="77777777" w:rsidR="00DE10B3" w:rsidRPr="00E8057F" w:rsidRDefault="00DE10B3" w:rsidP="00DE10B3">
            <w:pPr>
              <w:jc w:val="both"/>
              <w:rPr>
                <w:rFonts w:eastAsia="Times New Roman" w:cs="Calibri"/>
                <w:lang w:eastAsia="es-CO"/>
              </w:rPr>
            </w:pPr>
          </w:p>
        </w:tc>
        <w:tc>
          <w:tcPr>
            <w:tcW w:w="3402" w:type="dxa"/>
            <w:vAlign w:val="center"/>
          </w:tcPr>
          <w:p w14:paraId="6D1C33EA" w14:textId="46E872F6" w:rsidR="00DE10B3" w:rsidRPr="00E8057F" w:rsidRDefault="00DE10B3" w:rsidP="00DE10B3">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16.10 Garantizar el acceso público a la información y proteger las libertades fundamentales, de conformidad con las leyes </w:t>
            </w:r>
            <w:r w:rsidRPr="00E8057F">
              <w:rPr>
                <w:rFonts w:eastAsia="Times New Roman" w:cs="Calibri"/>
                <w:lang w:eastAsia="es-CO"/>
              </w:rPr>
              <w:lastRenderedPageBreak/>
              <w:t>nacionales y los acuerdos internacionales</w:t>
            </w:r>
          </w:p>
        </w:tc>
        <w:tc>
          <w:tcPr>
            <w:tcW w:w="3541" w:type="dxa"/>
            <w:vAlign w:val="center"/>
          </w:tcPr>
          <w:p w14:paraId="6E009669" w14:textId="6A3A8B7D" w:rsidR="00DE10B3" w:rsidRPr="00E8057F" w:rsidRDefault="00C61CE2" w:rsidP="00DE10B3">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lastRenderedPageBreak/>
              <w:t xml:space="preserve">Ejecución del Plan de Gestión Social -PGS de la zona de influencia del RSDJ de cumplimiento por parte del </w:t>
            </w:r>
            <w:r w:rsidRPr="00E8057F">
              <w:rPr>
                <w:rFonts w:eastAsia="Times New Roman" w:cs="Calibri"/>
                <w:lang w:eastAsia="es-CO"/>
              </w:rPr>
              <w:lastRenderedPageBreak/>
              <w:t>Operador del Relleno y el PGS de cumplimiento por parte del Distrito.</w:t>
            </w:r>
          </w:p>
        </w:tc>
      </w:tr>
      <w:tr w:rsidR="00DE10B3" w:rsidRPr="00E8057F" w14:paraId="0EC1288F" w14:textId="77777777" w:rsidTr="00DE10B3">
        <w:trPr>
          <w:trHeight w:val="880"/>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6C5EDFD7" w14:textId="77777777" w:rsidR="00DE10B3" w:rsidRPr="00E8057F" w:rsidRDefault="00DE10B3" w:rsidP="00DE10B3">
            <w:pPr>
              <w:jc w:val="both"/>
              <w:rPr>
                <w:rFonts w:eastAsia="Times New Roman" w:cs="Calibri"/>
                <w:lang w:eastAsia="es-CO"/>
              </w:rPr>
            </w:pPr>
          </w:p>
        </w:tc>
        <w:tc>
          <w:tcPr>
            <w:tcW w:w="3402" w:type="dxa"/>
            <w:vAlign w:val="center"/>
          </w:tcPr>
          <w:p w14:paraId="0EBE298E" w14:textId="0720A589" w:rsidR="00DE10B3" w:rsidRPr="00E8057F" w:rsidRDefault="00DE10B3" w:rsidP="00DE10B3">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16.b</w:t>
            </w:r>
            <w:r w:rsidR="00D70118" w:rsidRPr="00E8057F">
              <w:rPr>
                <w:rFonts w:eastAsia="Times New Roman" w:cs="Calibri"/>
                <w:lang w:eastAsia="es-CO"/>
              </w:rPr>
              <w:t xml:space="preserve"> </w:t>
            </w:r>
            <w:r w:rsidRPr="00E8057F">
              <w:rPr>
                <w:rFonts w:eastAsia="Times New Roman" w:cs="Calibri"/>
                <w:lang w:eastAsia="es-CO"/>
              </w:rPr>
              <w:t>Promover y aplicar leyes y políticas no discriminatorias en favor del desarrollo sostenible</w:t>
            </w:r>
          </w:p>
        </w:tc>
        <w:tc>
          <w:tcPr>
            <w:tcW w:w="3541" w:type="dxa"/>
            <w:vAlign w:val="center"/>
          </w:tcPr>
          <w:p w14:paraId="304CD62C" w14:textId="140F2C42" w:rsidR="00DE10B3" w:rsidRPr="00E8057F" w:rsidRDefault="005A06D8" w:rsidP="00DE10B3">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Cumplimiento de la aplicación de las normas vigentes que aplican a los servicios a cargo de la UAESP.</w:t>
            </w:r>
          </w:p>
        </w:tc>
      </w:tr>
      <w:tr w:rsidR="004C7406" w:rsidRPr="00E8057F" w14:paraId="15879D9B" w14:textId="77777777" w:rsidTr="00C1445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48E2B7FA" w14:textId="652A41B8" w:rsidR="004C7406" w:rsidRPr="00E8057F" w:rsidRDefault="004C7406" w:rsidP="004A61A7">
            <w:pPr>
              <w:jc w:val="both"/>
              <w:rPr>
                <w:rFonts w:eastAsia="Times New Roman" w:cs="Arial"/>
                <w:color w:val="4D4D4D"/>
                <w:lang w:eastAsia="es-CO"/>
              </w:rPr>
            </w:pPr>
            <w:r w:rsidRPr="00E8057F">
              <w:rPr>
                <w:rFonts w:eastAsia="Times New Roman" w:cs="Calibri"/>
                <w:lang w:eastAsia="es-CO"/>
              </w:rPr>
              <w:t>17. ALIANZAS PARA LOGRAR LOS OBJETIVOS (Revitalizar la Alianza Mundial para el Desarrollo Sostenible)</w:t>
            </w:r>
          </w:p>
        </w:tc>
        <w:tc>
          <w:tcPr>
            <w:tcW w:w="6943" w:type="dxa"/>
            <w:gridSpan w:val="2"/>
            <w:vAlign w:val="center"/>
          </w:tcPr>
          <w:p w14:paraId="1A0D9130" w14:textId="38648961" w:rsidR="004C7406" w:rsidRPr="00E8057F" w:rsidRDefault="004C7406" w:rsidP="004A61A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lang w:eastAsia="es-CO"/>
              </w:rPr>
            </w:pPr>
            <w:r w:rsidRPr="00E8057F">
              <w:rPr>
                <w:rFonts w:eastAsia="Times New Roman" w:cs="Calibri"/>
                <w:b/>
                <w:lang w:eastAsia="es-CO"/>
              </w:rPr>
              <w:t>Tecnología</w:t>
            </w:r>
          </w:p>
        </w:tc>
      </w:tr>
      <w:tr w:rsidR="004A61A7" w:rsidRPr="00E8057F" w14:paraId="554DFA3C" w14:textId="77777777" w:rsidTr="004A61A7">
        <w:trPr>
          <w:trHeight w:val="1058"/>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46A9E51E" w14:textId="77777777" w:rsidR="004A61A7" w:rsidRPr="00E8057F" w:rsidRDefault="004A61A7" w:rsidP="004A61A7">
            <w:pPr>
              <w:jc w:val="both"/>
              <w:rPr>
                <w:rFonts w:eastAsia="Times New Roman" w:cs="Calibri"/>
                <w:lang w:eastAsia="es-CO"/>
              </w:rPr>
            </w:pPr>
          </w:p>
        </w:tc>
        <w:tc>
          <w:tcPr>
            <w:tcW w:w="3402" w:type="dxa"/>
            <w:vAlign w:val="center"/>
          </w:tcPr>
          <w:p w14:paraId="7EC79007" w14:textId="12D0C419" w:rsidR="004A61A7" w:rsidRPr="00E8057F" w:rsidRDefault="004A61A7" w:rsidP="004A61A7">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17.6</w:t>
            </w:r>
            <w:r w:rsidR="00D70118" w:rsidRPr="00E8057F">
              <w:rPr>
                <w:rFonts w:eastAsia="Times New Roman" w:cs="Calibri"/>
                <w:lang w:eastAsia="es-CO"/>
              </w:rPr>
              <w:t xml:space="preserve"> </w:t>
            </w:r>
            <w:r w:rsidRPr="00E8057F">
              <w:rPr>
                <w:rFonts w:eastAsia="Times New Roman" w:cs="Calibri"/>
                <w:lang w:eastAsia="es-CO"/>
              </w:rPr>
              <w:t>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tc>
        <w:tc>
          <w:tcPr>
            <w:tcW w:w="3541" w:type="dxa"/>
            <w:vAlign w:val="center"/>
          </w:tcPr>
          <w:p w14:paraId="48ED5E78" w14:textId="7B01B28A" w:rsidR="00DF1D7F" w:rsidRPr="00E8057F" w:rsidRDefault="00373B19" w:rsidP="004A61A7">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Pr>
                <w:rFonts w:eastAsia="Times New Roman" w:cs="Calibri"/>
                <w:lang w:eastAsia="es-CO"/>
              </w:rPr>
              <w:t>Desde Innovación, mejorar la cooperación, alianzas en la creación de proyectos que fomenten la innovación en la prestación de los servicios públicos, mejoras en la tecnología, la investigación que permitan mejorar la coordinación de la garantía en la prestación de los servicios públicos.</w:t>
            </w:r>
          </w:p>
        </w:tc>
      </w:tr>
      <w:tr w:rsidR="004A61A7" w:rsidRPr="00E8057F" w14:paraId="487AC76A" w14:textId="77777777" w:rsidTr="00F32D34">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2B85A511" w14:textId="77777777" w:rsidR="004A61A7" w:rsidRPr="00E8057F" w:rsidRDefault="004A61A7" w:rsidP="004A61A7">
            <w:pPr>
              <w:jc w:val="both"/>
              <w:rPr>
                <w:rFonts w:eastAsia="Times New Roman" w:cs="Calibri"/>
                <w:lang w:eastAsia="es-CO"/>
              </w:rPr>
            </w:pPr>
          </w:p>
        </w:tc>
        <w:tc>
          <w:tcPr>
            <w:tcW w:w="3402" w:type="dxa"/>
            <w:vAlign w:val="center"/>
          </w:tcPr>
          <w:p w14:paraId="411A4BC7" w14:textId="52339ED5" w:rsidR="004A61A7" w:rsidRPr="00E8057F" w:rsidRDefault="004A61A7" w:rsidP="00D70118">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17.7</w:t>
            </w:r>
            <w:r w:rsidR="00D70118" w:rsidRPr="00E8057F">
              <w:rPr>
                <w:rFonts w:eastAsia="Times New Roman" w:cs="Calibri"/>
                <w:lang w:eastAsia="es-CO"/>
              </w:rPr>
              <w:t xml:space="preserve"> </w:t>
            </w:r>
            <w:r w:rsidRPr="00E8057F">
              <w:rPr>
                <w:rFonts w:eastAsia="Times New Roman" w:cs="Calibri"/>
                <w:lang w:eastAsia="es-CO"/>
              </w:rPr>
              <w:t>Promover el desarrollo de tecnologías ecológicamente racionales y su transferencia, divulgación y difusión a los países en desarrollo en condiciones favorables, incluso en condiciones concesionarias y preferenciales, según lo convenido de mutuo acuerdo</w:t>
            </w:r>
          </w:p>
        </w:tc>
        <w:tc>
          <w:tcPr>
            <w:tcW w:w="3541" w:type="dxa"/>
            <w:vAlign w:val="center"/>
          </w:tcPr>
          <w:p w14:paraId="5C7BF5C8" w14:textId="7A8EFEEA" w:rsidR="004A61A7" w:rsidRPr="00E8057F" w:rsidRDefault="004A61A7"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p w14:paraId="28D9D987" w14:textId="180BC79C" w:rsidR="00742E88" w:rsidRPr="00E8057F" w:rsidRDefault="00742E88"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 xml:space="preserve">Desarrollo de la tecnología de Biogás </w:t>
            </w:r>
            <w:r w:rsidR="008A157D">
              <w:rPr>
                <w:rFonts w:eastAsia="Times New Roman" w:cs="Calibri"/>
                <w:lang w:eastAsia="es-CO"/>
              </w:rPr>
              <w:t>e</w:t>
            </w:r>
            <w:r w:rsidRPr="00E8057F">
              <w:rPr>
                <w:rFonts w:eastAsia="Times New Roman" w:cs="Calibri"/>
                <w:lang w:eastAsia="es-CO"/>
              </w:rPr>
              <w:t>n</w:t>
            </w:r>
            <w:r w:rsidR="008A157D">
              <w:rPr>
                <w:rFonts w:eastAsia="Times New Roman" w:cs="Calibri"/>
                <w:lang w:eastAsia="es-CO"/>
              </w:rPr>
              <w:t xml:space="preserve"> </w:t>
            </w:r>
            <w:r w:rsidRPr="00E8057F">
              <w:rPr>
                <w:rFonts w:eastAsia="Times New Roman" w:cs="Calibri"/>
                <w:lang w:eastAsia="es-CO"/>
              </w:rPr>
              <w:t>el RSDJ</w:t>
            </w:r>
          </w:p>
        </w:tc>
      </w:tr>
      <w:tr w:rsidR="004C7406" w:rsidRPr="00E8057F" w14:paraId="35043078" w14:textId="77777777" w:rsidTr="00C14458">
        <w:trPr>
          <w:trHeight w:val="356"/>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29411044" w14:textId="77777777" w:rsidR="004C7406" w:rsidRPr="00E8057F" w:rsidRDefault="004C7406" w:rsidP="004A61A7">
            <w:pPr>
              <w:jc w:val="both"/>
              <w:rPr>
                <w:rFonts w:eastAsia="Times New Roman" w:cs="Calibri"/>
                <w:lang w:eastAsia="es-CO"/>
              </w:rPr>
            </w:pPr>
          </w:p>
        </w:tc>
        <w:tc>
          <w:tcPr>
            <w:tcW w:w="6943" w:type="dxa"/>
            <w:gridSpan w:val="2"/>
            <w:vAlign w:val="center"/>
          </w:tcPr>
          <w:p w14:paraId="3B08E969" w14:textId="77777777" w:rsidR="004C7406" w:rsidRPr="00E8057F" w:rsidRDefault="004C7406" w:rsidP="004A61A7">
            <w:pPr>
              <w:jc w:val="center"/>
              <w:cnfStyle w:val="000000000000" w:firstRow="0" w:lastRow="0" w:firstColumn="0" w:lastColumn="0" w:oddVBand="0" w:evenVBand="0" w:oddHBand="0" w:evenHBand="0" w:firstRowFirstColumn="0" w:firstRowLastColumn="0" w:lastRowFirstColumn="0" w:lastRowLastColumn="0"/>
              <w:rPr>
                <w:rFonts w:eastAsia="Times New Roman" w:cs="Calibri"/>
                <w:b/>
                <w:lang w:eastAsia="es-CO"/>
              </w:rPr>
            </w:pPr>
            <w:r w:rsidRPr="00E8057F">
              <w:rPr>
                <w:rFonts w:eastAsia="Times New Roman" w:cs="Calibri"/>
                <w:b/>
                <w:lang w:eastAsia="es-CO"/>
              </w:rPr>
              <w:t>Cuestiones sistémicas</w:t>
            </w:r>
          </w:p>
          <w:p w14:paraId="37723FBE" w14:textId="5FEF2601" w:rsidR="004C7406" w:rsidRPr="00E8057F" w:rsidRDefault="004C7406" w:rsidP="004A61A7">
            <w:pPr>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b/>
                <w:lang w:eastAsia="es-CO"/>
              </w:rPr>
              <w:t>Coherencia normativa e institucional</w:t>
            </w:r>
          </w:p>
        </w:tc>
      </w:tr>
      <w:tr w:rsidR="004A61A7" w:rsidRPr="00E8057F" w14:paraId="3E3DBDE0" w14:textId="77777777" w:rsidTr="004A61A7">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5489B73A" w14:textId="77777777" w:rsidR="004A61A7" w:rsidRPr="00E8057F" w:rsidRDefault="004A61A7" w:rsidP="004A61A7">
            <w:pPr>
              <w:jc w:val="both"/>
              <w:rPr>
                <w:rFonts w:eastAsia="Times New Roman" w:cs="Calibri"/>
                <w:lang w:eastAsia="es-CO"/>
              </w:rPr>
            </w:pPr>
          </w:p>
        </w:tc>
        <w:tc>
          <w:tcPr>
            <w:tcW w:w="3402" w:type="dxa"/>
            <w:vAlign w:val="center"/>
          </w:tcPr>
          <w:p w14:paraId="42471FE9" w14:textId="288A2C18" w:rsidR="004A61A7" w:rsidRPr="00E8057F" w:rsidRDefault="004A61A7"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17.15</w:t>
            </w:r>
            <w:r w:rsidR="00D70118" w:rsidRPr="00E8057F">
              <w:rPr>
                <w:rFonts w:eastAsia="Times New Roman" w:cs="Calibri"/>
                <w:lang w:eastAsia="es-CO"/>
              </w:rPr>
              <w:t xml:space="preserve"> </w:t>
            </w:r>
            <w:r w:rsidRPr="00E8057F">
              <w:rPr>
                <w:rFonts w:eastAsia="Times New Roman" w:cs="Calibri"/>
                <w:lang w:eastAsia="es-CO"/>
              </w:rPr>
              <w:t>Respetar el margen normativo y el liderazgo de cada país para establecer y aplicar políticas de erradicación de la pobreza y desarrollo sostenible</w:t>
            </w:r>
          </w:p>
        </w:tc>
        <w:tc>
          <w:tcPr>
            <w:tcW w:w="3541" w:type="dxa"/>
            <w:vAlign w:val="center"/>
          </w:tcPr>
          <w:p w14:paraId="3DA00071" w14:textId="6D850F3E" w:rsidR="004A61A7" w:rsidRPr="00E8057F" w:rsidRDefault="004C7406"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Se cumple con el marco normativo nacional y distrital que rige la prestación de los servicios a cargo de la UAESP.</w:t>
            </w:r>
          </w:p>
        </w:tc>
      </w:tr>
      <w:tr w:rsidR="004C7406" w:rsidRPr="00E8057F" w14:paraId="6CBD6198" w14:textId="77777777" w:rsidTr="00C14458">
        <w:trPr>
          <w:trHeight w:val="484"/>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61AA1782" w14:textId="77777777" w:rsidR="004C7406" w:rsidRPr="00E8057F" w:rsidRDefault="004C7406" w:rsidP="004A61A7">
            <w:pPr>
              <w:jc w:val="both"/>
              <w:rPr>
                <w:rFonts w:eastAsia="Times New Roman" w:cs="Calibri"/>
                <w:lang w:eastAsia="es-CO"/>
              </w:rPr>
            </w:pPr>
          </w:p>
        </w:tc>
        <w:tc>
          <w:tcPr>
            <w:tcW w:w="6943" w:type="dxa"/>
            <w:gridSpan w:val="2"/>
            <w:vAlign w:val="center"/>
          </w:tcPr>
          <w:p w14:paraId="53425CD9" w14:textId="77777777" w:rsidR="004C7406" w:rsidRPr="00E8057F" w:rsidRDefault="004C7406" w:rsidP="004A61A7">
            <w:pPr>
              <w:jc w:val="center"/>
              <w:cnfStyle w:val="000000000000" w:firstRow="0" w:lastRow="0" w:firstColumn="0" w:lastColumn="0" w:oddVBand="0" w:evenVBand="0" w:oddHBand="0" w:evenHBand="0" w:firstRowFirstColumn="0" w:firstRowLastColumn="0" w:lastRowFirstColumn="0" w:lastRowLastColumn="0"/>
              <w:rPr>
                <w:rFonts w:eastAsia="Times New Roman" w:cs="Calibri"/>
                <w:b/>
                <w:lang w:eastAsia="es-CO"/>
              </w:rPr>
            </w:pPr>
            <w:r w:rsidRPr="00E8057F">
              <w:rPr>
                <w:rFonts w:eastAsia="Times New Roman" w:cs="Calibri"/>
                <w:b/>
                <w:lang w:eastAsia="es-CO"/>
              </w:rPr>
              <w:t>Cuestiones sistémicas</w:t>
            </w:r>
          </w:p>
          <w:p w14:paraId="316E3A3F" w14:textId="33F0D251" w:rsidR="004C7406" w:rsidRPr="00E8057F" w:rsidRDefault="004C7406" w:rsidP="004A61A7">
            <w:pPr>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b/>
                <w:lang w:eastAsia="es-CO"/>
              </w:rPr>
              <w:t>Alianzas entre múltiples interesados</w:t>
            </w:r>
          </w:p>
        </w:tc>
      </w:tr>
      <w:tr w:rsidR="004A61A7" w:rsidRPr="00E8057F" w14:paraId="1898F16D" w14:textId="77777777" w:rsidTr="004A61A7">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855F4D6" w14:textId="77777777" w:rsidR="004A61A7" w:rsidRPr="00E8057F" w:rsidRDefault="004A61A7" w:rsidP="004A61A7">
            <w:pPr>
              <w:jc w:val="both"/>
              <w:rPr>
                <w:rFonts w:eastAsia="Times New Roman" w:cs="Calibri"/>
                <w:lang w:eastAsia="es-CO"/>
              </w:rPr>
            </w:pPr>
          </w:p>
        </w:tc>
        <w:tc>
          <w:tcPr>
            <w:tcW w:w="3402" w:type="dxa"/>
            <w:vAlign w:val="center"/>
          </w:tcPr>
          <w:p w14:paraId="549E8FE1" w14:textId="099071B0" w:rsidR="004A61A7" w:rsidRPr="00E8057F" w:rsidRDefault="004A61A7"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r w:rsidRPr="00E8057F">
              <w:rPr>
                <w:rFonts w:eastAsia="Times New Roman" w:cs="Calibri"/>
                <w:lang w:eastAsia="es-CO"/>
              </w:rPr>
              <w:t>17.16</w:t>
            </w:r>
            <w:r w:rsidR="00D70118" w:rsidRPr="00E8057F">
              <w:rPr>
                <w:rFonts w:eastAsia="Times New Roman" w:cs="Calibri"/>
                <w:lang w:eastAsia="es-CO"/>
              </w:rPr>
              <w:t xml:space="preserve"> </w:t>
            </w:r>
            <w:r w:rsidRPr="00E8057F">
              <w:rPr>
                <w:rFonts w:eastAsia="Times New Roman" w:cs="Calibri"/>
                <w:lang w:eastAsia="es-CO"/>
              </w:rPr>
              <w:t xml:space="preserve">Mejorar la Alianza Mundial para el Desarrollo Sostenible, complementada por alianzas entre múltiples interesados que movilicen </w:t>
            </w:r>
            <w:r w:rsidRPr="00E8057F">
              <w:rPr>
                <w:rFonts w:eastAsia="Times New Roman" w:cs="Calibri"/>
                <w:lang w:eastAsia="es-CO"/>
              </w:rPr>
              <w:lastRenderedPageBreak/>
              <w:t>e intercambien conocimientos, especialización, tecnología y recursos financieros, a fin de apoyar el logro de los Objetivos de Desarrollo Sostenible en todos los países, particularmente los países en desarrollo</w:t>
            </w:r>
          </w:p>
        </w:tc>
        <w:tc>
          <w:tcPr>
            <w:tcW w:w="3541" w:type="dxa"/>
            <w:vAlign w:val="center"/>
          </w:tcPr>
          <w:p w14:paraId="62029848" w14:textId="144E1F4F" w:rsidR="004A61A7" w:rsidRPr="00E8057F" w:rsidRDefault="004A61A7" w:rsidP="004A61A7">
            <w:pPr>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es-CO"/>
              </w:rPr>
            </w:pPr>
          </w:p>
        </w:tc>
      </w:tr>
      <w:tr w:rsidR="004A61A7" w:rsidRPr="00E8057F" w14:paraId="04B41E6B" w14:textId="77777777" w:rsidTr="00F32D34">
        <w:trPr>
          <w:trHeight w:val="1058"/>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3E72B252" w14:textId="77777777" w:rsidR="004A61A7" w:rsidRPr="00E8057F" w:rsidRDefault="004A61A7" w:rsidP="004A61A7">
            <w:pPr>
              <w:jc w:val="both"/>
              <w:rPr>
                <w:rFonts w:eastAsia="Times New Roman" w:cs="Calibri"/>
                <w:lang w:eastAsia="es-CO"/>
              </w:rPr>
            </w:pPr>
          </w:p>
        </w:tc>
        <w:tc>
          <w:tcPr>
            <w:tcW w:w="3402" w:type="dxa"/>
            <w:vAlign w:val="center"/>
          </w:tcPr>
          <w:p w14:paraId="512FD7D1" w14:textId="3BAE2065" w:rsidR="004A61A7" w:rsidRPr="00E8057F" w:rsidRDefault="004A61A7" w:rsidP="004A61A7">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17.17</w:t>
            </w:r>
            <w:r w:rsidR="00D70118" w:rsidRPr="00E8057F">
              <w:rPr>
                <w:rFonts w:eastAsia="Times New Roman" w:cs="Calibri"/>
                <w:lang w:eastAsia="es-CO"/>
              </w:rPr>
              <w:t xml:space="preserve"> </w:t>
            </w:r>
            <w:r w:rsidRPr="00E8057F">
              <w:rPr>
                <w:rFonts w:eastAsia="Times New Roman" w:cs="Calibri"/>
                <w:lang w:eastAsia="es-CO"/>
              </w:rPr>
              <w:t>Fomentar y promover la constitución de alianzas eficaces en las esferas pública, público-privada y de la sociedad civil, aprovechando la experiencia y las estrategias de obtención de recursos de las alianzas</w:t>
            </w:r>
          </w:p>
        </w:tc>
        <w:tc>
          <w:tcPr>
            <w:tcW w:w="3541" w:type="dxa"/>
            <w:vAlign w:val="center"/>
          </w:tcPr>
          <w:p w14:paraId="33775993" w14:textId="6F184B6C" w:rsidR="004A61A7" w:rsidRPr="00E8057F" w:rsidRDefault="004C7406" w:rsidP="004A61A7">
            <w:pPr>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es-CO"/>
              </w:rPr>
            </w:pPr>
            <w:r w:rsidRPr="00E8057F">
              <w:rPr>
                <w:rFonts w:eastAsia="Times New Roman" w:cs="Calibri"/>
                <w:lang w:eastAsia="es-CO"/>
              </w:rPr>
              <w:t>Se promueve la articulación interinstitucional y con las comunidades aledañas al RSDJ para la e</w:t>
            </w:r>
            <w:r w:rsidR="00C61CE2" w:rsidRPr="00E8057F">
              <w:rPr>
                <w:rFonts w:eastAsia="Times New Roman" w:cs="Calibri"/>
                <w:lang w:eastAsia="es-CO"/>
              </w:rPr>
              <w:t>jecución del Plan de Gestión Social -PGS de la zona de influencia del RSDJ de cumplimiento por parte del Operador del Relleno y el PGS de cumplimiento por parte del Distrito</w:t>
            </w:r>
          </w:p>
        </w:tc>
      </w:tr>
    </w:tbl>
    <w:p w14:paraId="25B5B8A4" w14:textId="58662A44" w:rsidR="00720205" w:rsidRPr="0034762E" w:rsidRDefault="00725D1C" w:rsidP="00725D1C">
      <w:pPr>
        <w:jc w:val="both"/>
        <w:rPr>
          <w:sz w:val="18"/>
        </w:rPr>
      </w:pPr>
      <w:r w:rsidRPr="0034762E">
        <w:rPr>
          <w:sz w:val="18"/>
        </w:rPr>
        <w:t>FUENTE: Seguimiento Objetivos de Desarrollo Sostenible – comité sectorial. Construcción propia Oficina Asesora de Planeación – UAESP. 2019</w:t>
      </w:r>
      <w:r w:rsidR="008C2701" w:rsidRPr="0034762E">
        <w:rPr>
          <w:sz w:val="18"/>
        </w:rPr>
        <w:t>.</w:t>
      </w:r>
    </w:p>
    <w:p w14:paraId="47791FF4" w14:textId="77777777" w:rsidR="00BE260A" w:rsidRPr="00E8057F" w:rsidRDefault="00BE260A" w:rsidP="001F45F2">
      <w:pPr>
        <w:pStyle w:val="Ttulo2"/>
        <w:numPr>
          <w:ilvl w:val="0"/>
          <w:numId w:val="26"/>
        </w:numPr>
        <w:rPr>
          <w:rFonts w:asciiTheme="minorHAnsi" w:hAnsiTheme="minorHAnsi"/>
          <w:sz w:val="22"/>
          <w:szCs w:val="22"/>
        </w:rPr>
      </w:pPr>
      <w:bookmarkStart w:id="6" w:name="_Toc18351776"/>
      <w:r w:rsidRPr="00E8057F">
        <w:rPr>
          <w:rFonts w:asciiTheme="minorHAnsi" w:hAnsiTheme="minorHAnsi"/>
          <w:sz w:val="22"/>
          <w:szCs w:val="22"/>
        </w:rPr>
        <w:t>Objetivo de la Guía de Responsabilidad Social</w:t>
      </w:r>
      <w:bookmarkEnd w:id="6"/>
    </w:p>
    <w:p w14:paraId="0CCBAC36" w14:textId="77777777" w:rsidR="00501F1A" w:rsidRPr="00E8057F" w:rsidRDefault="00501F1A" w:rsidP="00474BE0">
      <w:pPr>
        <w:pStyle w:val="Prrafodelista"/>
        <w:ind w:left="360"/>
        <w:rPr>
          <w:b/>
        </w:rPr>
      </w:pPr>
    </w:p>
    <w:p w14:paraId="7C9A3B8D" w14:textId="06D0B8D0" w:rsidR="005B3DC7" w:rsidRPr="00E8057F" w:rsidRDefault="00A26AB0" w:rsidP="005B3DC7">
      <w:pPr>
        <w:pStyle w:val="Prrafodelista"/>
        <w:ind w:left="360"/>
        <w:jc w:val="both"/>
      </w:pPr>
      <w:r w:rsidRPr="00E8057F">
        <w:t>Establecer un punto de partida que identifique las acciones que adelanta</w:t>
      </w:r>
      <w:r w:rsidR="005B3DC7" w:rsidRPr="00E8057F">
        <w:t xml:space="preserve"> </w:t>
      </w:r>
      <w:r w:rsidRPr="00E8057F">
        <w:t>la Unidad Administrativa Especial de Servicios Públicos relacionadas con la</w:t>
      </w:r>
      <w:r w:rsidR="005B3DC7" w:rsidRPr="00E8057F">
        <w:t xml:space="preserve"> responsabilidad social</w:t>
      </w:r>
      <w:r w:rsidRPr="00E8057F">
        <w:t>.</w:t>
      </w:r>
    </w:p>
    <w:p w14:paraId="6C5E0913" w14:textId="0D440A7D" w:rsidR="00CE1F2D" w:rsidRPr="00E8057F" w:rsidRDefault="00CE1F2D" w:rsidP="005B3DC7">
      <w:pPr>
        <w:pStyle w:val="Prrafodelista"/>
        <w:ind w:left="360"/>
        <w:jc w:val="both"/>
      </w:pPr>
    </w:p>
    <w:p w14:paraId="099B1FD9" w14:textId="541845E8" w:rsidR="003E7F67" w:rsidRDefault="006904BC" w:rsidP="001F45F2">
      <w:pPr>
        <w:pStyle w:val="Ttulo2"/>
        <w:numPr>
          <w:ilvl w:val="0"/>
          <w:numId w:val="26"/>
        </w:numPr>
        <w:rPr>
          <w:rFonts w:asciiTheme="minorHAnsi" w:hAnsiTheme="minorHAnsi"/>
          <w:sz w:val="22"/>
          <w:szCs w:val="22"/>
        </w:rPr>
      </w:pPr>
      <w:bookmarkStart w:id="7" w:name="_Toc18351777"/>
      <w:r w:rsidRPr="00E8057F">
        <w:rPr>
          <w:rFonts w:asciiTheme="minorHAnsi" w:hAnsiTheme="minorHAnsi"/>
          <w:sz w:val="22"/>
          <w:szCs w:val="22"/>
        </w:rPr>
        <w:t>Agenda UAESP en cumplimiento de las materias fundamental</w:t>
      </w:r>
      <w:r w:rsidR="001F45F2" w:rsidRPr="00E8057F">
        <w:rPr>
          <w:rFonts w:asciiTheme="minorHAnsi" w:hAnsiTheme="minorHAnsi"/>
          <w:sz w:val="22"/>
          <w:szCs w:val="22"/>
        </w:rPr>
        <w:t>es de la Responsabilidad Social</w:t>
      </w:r>
      <w:bookmarkEnd w:id="7"/>
    </w:p>
    <w:p w14:paraId="7194E24F" w14:textId="77777777" w:rsidR="0034762E" w:rsidRDefault="0034762E" w:rsidP="0034762E"/>
    <w:p w14:paraId="77BAD314" w14:textId="49563315" w:rsidR="0034762E" w:rsidRPr="0034762E" w:rsidRDefault="0034762E" w:rsidP="0034762E">
      <w:r>
        <w:t>Las siguientes son las buenas prácticas en materia de responsabilidad social que realiza la Unidad Administrativa Especial de Servicios Públicos, en cumplimiento de su misionalidad.</w:t>
      </w:r>
    </w:p>
    <w:p w14:paraId="1F217278" w14:textId="221D8B60" w:rsidR="006904BC" w:rsidRPr="00E8057F" w:rsidRDefault="00DA16EB" w:rsidP="001F45F2">
      <w:pPr>
        <w:pStyle w:val="Ttulo2"/>
        <w:numPr>
          <w:ilvl w:val="1"/>
          <w:numId w:val="26"/>
        </w:numPr>
        <w:rPr>
          <w:rFonts w:asciiTheme="minorHAnsi" w:hAnsiTheme="minorHAnsi"/>
          <w:sz w:val="22"/>
          <w:szCs w:val="22"/>
        </w:rPr>
      </w:pPr>
      <w:bookmarkStart w:id="8" w:name="_Toc18351778"/>
      <w:r w:rsidRPr="00E8057F">
        <w:rPr>
          <w:rFonts w:asciiTheme="minorHAnsi" w:hAnsiTheme="minorHAnsi"/>
          <w:sz w:val="22"/>
          <w:szCs w:val="22"/>
        </w:rPr>
        <w:t>Gobernanza en la entidad</w:t>
      </w:r>
      <w:bookmarkEnd w:id="8"/>
    </w:p>
    <w:p w14:paraId="0AF278E9" w14:textId="77777777" w:rsidR="0034762E" w:rsidRDefault="0034762E" w:rsidP="00C37C2E">
      <w:pPr>
        <w:ind w:left="360"/>
        <w:jc w:val="both"/>
      </w:pPr>
    </w:p>
    <w:p w14:paraId="781A1347" w14:textId="611F071F" w:rsidR="00C37C2E" w:rsidRPr="00E8057F" w:rsidRDefault="00C37C2E" w:rsidP="00C37C2E">
      <w:pPr>
        <w:ind w:left="360"/>
        <w:jc w:val="both"/>
      </w:pPr>
      <w:r w:rsidRPr="00E8057F">
        <w:t>En lo atinente a la materia fundamental de Gobernanza en la entidad, las acciones que a la fecha se han identificado son:</w:t>
      </w:r>
      <w:r w:rsidR="000219A4">
        <w:t xml:space="preserve"> </w:t>
      </w:r>
    </w:p>
    <w:p w14:paraId="2E950925" w14:textId="77777777" w:rsidR="00C37C2E" w:rsidRPr="00E8057F" w:rsidRDefault="00C37C2E" w:rsidP="00C37C2E">
      <w:pPr>
        <w:pStyle w:val="Prrafodelista"/>
        <w:ind w:left="1080"/>
        <w:jc w:val="both"/>
      </w:pPr>
    </w:p>
    <w:p w14:paraId="01A9EB4D" w14:textId="4967AA71" w:rsidR="000277D7" w:rsidRPr="000277D7" w:rsidRDefault="000277D7" w:rsidP="000277D7">
      <w:pPr>
        <w:pStyle w:val="Prrafodelista"/>
        <w:numPr>
          <w:ilvl w:val="0"/>
          <w:numId w:val="22"/>
        </w:numPr>
        <w:jc w:val="both"/>
      </w:pPr>
      <w:r w:rsidRPr="000277D7">
        <w:t>Adopción del Modelo de Gestión Documental: Es parte constitutiva de la gobernanza el modelo de gestión que internamente se denominó modelo de transformación organizacional, que incluye una dimensión relacional íntimamente ligada al ejercicio de la responsabilidad social</w:t>
      </w:r>
      <w:r w:rsidR="007715FF">
        <w:t>, entendida</w:t>
      </w:r>
      <w:r w:rsidRPr="000277D7">
        <w:t xml:space="preserve"> la R</w:t>
      </w:r>
      <w:r w:rsidR="007715FF">
        <w:t xml:space="preserve">esponsabilidad </w:t>
      </w:r>
      <w:r w:rsidRPr="000277D7">
        <w:t>S</w:t>
      </w:r>
      <w:r w:rsidR="007715FF">
        <w:t xml:space="preserve">ocial </w:t>
      </w:r>
      <w:r w:rsidRPr="000277D7">
        <w:t>E</w:t>
      </w:r>
      <w:r w:rsidR="007715FF">
        <w:t>mpresarial</w:t>
      </w:r>
      <w:r w:rsidRPr="000277D7">
        <w:t xml:space="preserve"> no como una función adicional de la </w:t>
      </w:r>
      <w:r w:rsidR="007715FF">
        <w:t>Entidad,</w:t>
      </w:r>
      <w:r w:rsidR="007715FF" w:rsidRPr="000277D7">
        <w:t xml:space="preserve"> </w:t>
      </w:r>
      <w:r w:rsidRPr="000277D7">
        <w:t xml:space="preserve">sino constitutiva del trabajo cotidiano de la Unidad. </w:t>
      </w:r>
    </w:p>
    <w:p w14:paraId="76EB6640" w14:textId="1F521EEA" w:rsidR="00D70118" w:rsidRPr="00E8057F" w:rsidRDefault="00D70118" w:rsidP="0097618E">
      <w:pPr>
        <w:pStyle w:val="Prrafodelista"/>
        <w:numPr>
          <w:ilvl w:val="0"/>
          <w:numId w:val="22"/>
        </w:numPr>
        <w:jc w:val="both"/>
      </w:pPr>
      <w:r w:rsidRPr="00E8057F">
        <w:t>Adopción del código de integridad como una acción de inclusividad y conducta ética.</w:t>
      </w:r>
    </w:p>
    <w:p w14:paraId="443E264D" w14:textId="19AF5C5B" w:rsidR="00D70118" w:rsidRPr="00E8057F" w:rsidRDefault="00D70118" w:rsidP="0097618E">
      <w:pPr>
        <w:pStyle w:val="Prrafodelista"/>
        <w:numPr>
          <w:ilvl w:val="0"/>
          <w:numId w:val="21"/>
        </w:numPr>
        <w:spacing w:after="0"/>
        <w:jc w:val="both"/>
      </w:pPr>
      <w:r w:rsidRPr="00E8057F">
        <w:lastRenderedPageBreak/>
        <w:t>Mesas de diálogo sectorial y acceso a la información a través de redes sociales (twitter, Facebook, Instagram) y la página web de la entidad – rendición de cuentas</w:t>
      </w:r>
      <w:r w:rsidR="00183FF3" w:rsidRPr="00E8057F">
        <w:t xml:space="preserve"> y participación ciudadana</w:t>
      </w:r>
      <w:r w:rsidRPr="00E8057F">
        <w:t>.</w:t>
      </w:r>
    </w:p>
    <w:p w14:paraId="54548257" w14:textId="49192D41" w:rsidR="00D70118" w:rsidRPr="00E8057F" w:rsidRDefault="00D70118" w:rsidP="00D70118">
      <w:pPr>
        <w:rPr>
          <w:b/>
        </w:rPr>
      </w:pPr>
    </w:p>
    <w:p w14:paraId="728341E0" w14:textId="0D82CC23" w:rsidR="006904BC" w:rsidRPr="00E8057F" w:rsidRDefault="006904BC" w:rsidP="001F45F2">
      <w:pPr>
        <w:pStyle w:val="Ttulo2"/>
        <w:numPr>
          <w:ilvl w:val="1"/>
          <w:numId w:val="26"/>
        </w:numPr>
        <w:rPr>
          <w:rFonts w:asciiTheme="minorHAnsi" w:hAnsiTheme="minorHAnsi"/>
          <w:sz w:val="22"/>
          <w:szCs w:val="22"/>
        </w:rPr>
      </w:pPr>
      <w:bookmarkStart w:id="9" w:name="_Toc18351779"/>
      <w:r w:rsidRPr="00E8057F">
        <w:rPr>
          <w:rFonts w:asciiTheme="minorHAnsi" w:hAnsiTheme="minorHAnsi"/>
          <w:sz w:val="22"/>
          <w:szCs w:val="22"/>
        </w:rPr>
        <w:t>Participación activa y desarrollo de la comunidad</w:t>
      </w:r>
      <w:bookmarkEnd w:id="9"/>
    </w:p>
    <w:p w14:paraId="131532AD" w14:textId="77777777" w:rsidR="0034762E" w:rsidRDefault="0034762E" w:rsidP="007B6C4B">
      <w:pPr>
        <w:pStyle w:val="Prrafodelista"/>
        <w:spacing w:after="0"/>
        <w:ind w:left="708"/>
      </w:pPr>
    </w:p>
    <w:p w14:paraId="375A4DDD" w14:textId="68A394AC" w:rsidR="007B6C4B" w:rsidRPr="00E8057F" w:rsidRDefault="007B6C4B" w:rsidP="007B6C4B">
      <w:pPr>
        <w:pStyle w:val="Prrafodelista"/>
        <w:spacing w:after="0"/>
        <w:ind w:left="708"/>
      </w:pPr>
      <w:r w:rsidRPr="00E8057F">
        <w:t>Para el desarrollo de esta materia fundamental, las acciones identificadas son:</w:t>
      </w:r>
    </w:p>
    <w:p w14:paraId="241C317F" w14:textId="77777777" w:rsidR="007B6C4B" w:rsidRPr="00E8057F" w:rsidRDefault="007B6C4B" w:rsidP="007B6C4B">
      <w:pPr>
        <w:pStyle w:val="Prrafodelista"/>
        <w:spacing w:after="0"/>
        <w:ind w:left="708"/>
      </w:pPr>
    </w:p>
    <w:p w14:paraId="7417B541" w14:textId="560970A6" w:rsidR="00744E7F" w:rsidRPr="008A157D" w:rsidRDefault="00744E7F" w:rsidP="0097618E">
      <w:pPr>
        <w:pStyle w:val="Prrafodelista"/>
        <w:numPr>
          <w:ilvl w:val="0"/>
          <w:numId w:val="21"/>
        </w:numPr>
        <w:spacing w:after="0"/>
        <w:jc w:val="both"/>
        <w:rPr>
          <w:b/>
        </w:rPr>
      </w:pPr>
      <w:r>
        <w:t>Crear espacios de participación activa de los ciudadanos en los retos de la ciudad a través de talleres de innovación, co</w:t>
      </w:r>
      <w:r w:rsidR="008A157D">
        <w:t>-</w:t>
      </w:r>
      <w:r>
        <w:t xml:space="preserve">creación e innovación. </w:t>
      </w:r>
    </w:p>
    <w:p w14:paraId="2934AFFE" w14:textId="0CF6D360" w:rsidR="0097618E" w:rsidRPr="00E8057F" w:rsidRDefault="0097618E" w:rsidP="0097618E">
      <w:pPr>
        <w:pStyle w:val="Prrafodelista"/>
        <w:numPr>
          <w:ilvl w:val="0"/>
          <w:numId w:val="21"/>
        </w:numPr>
        <w:spacing w:after="0"/>
        <w:jc w:val="both"/>
        <w:rPr>
          <w:b/>
        </w:rPr>
      </w:pPr>
      <w:r w:rsidRPr="00E8057F">
        <w:t>Desarrollar campañas de información, divulgación e implementación del Proyecto de Reciclaje y Aprovechamiento Sostenible -PRAS</w:t>
      </w:r>
    </w:p>
    <w:p w14:paraId="485458BB" w14:textId="6E2AD113" w:rsidR="0097618E" w:rsidRPr="00E8057F" w:rsidRDefault="0097618E" w:rsidP="007B6C4B">
      <w:pPr>
        <w:pStyle w:val="Prrafodelista"/>
        <w:numPr>
          <w:ilvl w:val="0"/>
          <w:numId w:val="21"/>
        </w:numPr>
        <w:jc w:val="both"/>
      </w:pPr>
      <w:r w:rsidRPr="00E8057F">
        <w:t>Realiza</w:t>
      </w:r>
      <w:r w:rsidR="00903848" w:rsidRPr="00E8057F">
        <w:t>ción de</w:t>
      </w:r>
      <w:r w:rsidRPr="00E8057F">
        <w:t xml:space="preserve"> Mesas</w:t>
      </w:r>
      <w:r w:rsidR="00903848" w:rsidRPr="00E8057F">
        <w:t>/E</w:t>
      </w:r>
      <w:r w:rsidRPr="00E8057F">
        <w:t xml:space="preserve">spacios comunitarios con la población aledaña al Relleno Sanitario Doña Juana </w:t>
      </w:r>
      <w:r w:rsidR="00903848" w:rsidRPr="00E8057F">
        <w:t>en articulación con las entidades distritales</w:t>
      </w:r>
      <w:r w:rsidRPr="00E8057F">
        <w:t xml:space="preserve">. </w:t>
      </w:r>
    </w:p>
    <w:p w14:paraId="59CA8203" w14:textId="6EF90573" w:rsidR="00607E59" w:rsidRPr="00E8057F" w:rsidRDefault="00903848" w:rsidP="00607E59">
      <w:pPr>
        <w:pStyle w:val="Prrafodelista"/>
        <w:numPr>
          <w:ilvl w:val="0"/>
          <w:numId w:val="21"/>
        </w:numPr>
        <w:jc w:val="both"/>
      </w:pPr>
      <w:r w:rsidRPr="00E8057F">
        <w:t>Ejecución de convenios de formación académica para garantizar el desarrollo de las comunidades a través de la inversión social</w:t>
      </w:r>
      <w:r w:rsidR="00183FF3" w:rsidRPr="00E8057F">
        <w:t xml:space="preserve"> (Inversión social – garantía de desarrollo de las comunidades)</w:t>
      </w:r>
    </w:p>
    <w:p w14:paraId="463695E0" w14:textId="7E2D1252" w:rsidR="00607E59" w:rsidRPr="00E8057F" w:rsidRDefault="00607E59" w:rsidP="00607E59">
      <w:pPr>
        <w:pStyle w:val="Prrafodelista"/>
        <w:numPr>
          <w:ilvl w:val="0"/>
          <w:numId w:val="21"/>
        </w:numPr>
        <w:jc w:val="both"/>
      </w:pPr>
      <w:r w:rsidRPr="00E8057F">
        <w:t>Garantizar la ejecución del Programa de Generación de Empleo y Cualificación de la Mano de obra del Plan de Gestión Social- PGS del Operador del Relleno.</w:t>
      </w:r>
      <w:r w:rsidR="00183FF3" w:rsidRPr="00E8057F">
        <w:t xml:space="preserve"> (Inversión social – garantía de desarrollo de las comunidades)</w:t>
      </w:r>
    </w:p>
    <w:p w14:paraId="4B21E812" w14:textId="77777777" w:rsidR="00607E59" w:rsidRPr="00E8057F" w:rsidRDefault="00607E59" w:rsidP="00607E59">
      <w:pPr>
        <w:pStyle w:val="Prrafodelista"/>
        <w:ind w:left="1080"/>
        <w:jc w:val="both"/>
      </w:pPr>
    </w:p>
    <w:p w14:paraId="7D2698F4" w14:textId="68B7CC96" w:rsidR="006904BC" w:rsidRPr="00E8057F" w:rsidRDefault="006904BC" w:rsidP="001F45F2">
      <w:pPr>
        <w:pStyle w:val="Ttulo2"/>
        <w:numPr>
          <w:ilvl w:val="1"/>
          <w:numId w:val="26"/>
        </w:numPr>
        <w:rPr>
          <w:rFonts w:asciiTheme="minorHAnsi" w:hAnsiTheme="minorHAnsi"/>
          <w:sz w:val="22"/>
          <w:szCs w:val="22"/>
        </w:rPr>
      </w:pPr>
      <w:bookmarkStart w:id="10" w:name="_Toc18351780"/>
      <w:r w:rsidRPr="00E8057F">
        <w:rPr>
          <w:rFonts w:asciiTheme="minorHAnsi" w:hAnsiTheme="minorHAnsi"/>
          <w:sz w:val="22"/>
          <w:szCs w:val="22"/>
        </w:rPr>
        <w:t>Derechos Humanos</w:t>
      </w:r>
      <w:bookmarkEnd w:id="10"/>
    </w:p>
    <w:p w14:paraId="6E308E4D" w14:textId="3FA9FD11" w:rsidR="00C72430" w:rsidRPr="00E8057F" w:rsidRDefault="00C72430" w:rsidP="00C72430">
      <w:pPr>
        <w:spacing w:after="0"/>
        <w:rPr>
          <w:b/>
        </w:rPr>
      </w:pPr>
    </w:p>
    <w:p w14:paraId="775E566E" w14:textId="77188D7B" w:rsidR="00C72430" w:rsidRPr="00E8057F" w:rsidRDefault="00C72430" w:rsidP="00C72430">
      <w:pPr>
        <w:spacing w:after="0"/>
        <w:ind w:left="360"/>
      </w:pPr>
      <w:r w:rsidRPr="00E8057F">
        <w:t>Estas son las acciones identificadas en esta materia fundamental:</w:t>
      </w:r>
    </w:p>
    <w:p w14:paraId="5C6D7E43" w14:textId="03F8AA4A" w:rsidR="00C72430" w:rsidRPr="00E8057F" w:rsidRDefault="00C72430" w:rsidP="00C72430">
      <w:pPr>
        <w:spacing w:after="0"/>
        <w:rPr>
          <w:b/>
        </w:rPr>
      </w:pPr>
    </w:p>
    <w:p w14:paraId="7DE10774" w14:textId="67C503A3" w:rsidR="007433A5" w:rsidRPr="00E8057F" w:rsidRDefault="007433A5" w:rsidP="007433A5">
      <w:pPr>
        <w:pStyle w:val="Prrafodelista"/>
        <w:numPr>
          <w:ilvl w:val="0"/>
          <w:numId w:val="23"/>
        </w:numPr>
        <w:spacing w:after="0"/>
        <w:jc w:val="both"/>
      </w:pPr>
      <w:r w:rsidRPr="00E8057F">
        <w:t xml:space="preserve">Ejercer el derecho de constitución y afiliación </w:t>
      </w:r>
      <w:r w:rsidR="00C72430" w:rsidRPr="00E8057F">
        <w:t>al sindicato de la UAESP</w:t>
      </w:r>
      <w:r w:rsidRPr="00E8057F">
        <w:t xml:space="preserve">, en el marco de la garantía de los derechos civiles, y políticos y; como garantía de los derechos laborales </w:t>
      </w:r>
    </w:p>
    <w:p w14:paraId="0FA66F49" w14:textId="65F88F04" w:rsidR="00C72430" w:rsidRPr="00E8057F" w:rsidRDefault="00C72430" w:rsidP="00C72430">
      <w:pPr>
        <w:pStyle w:val="Prrafodelista"/>
        <w:numPr>
          <w:ilvl w:val="0"/>
          <w:numId w:val="23"/>
        </w:numPr>
        <w:spacing w:after="0"/>
        <w:jc w:val="both"/>
      </w:pPr>
      <w:r w:rsidRPr="00E8057F">
        <w:t>Plan de inclusión de la población recicladora, en el marco de la garantía de los derechos económicos, culturales, sociales y ambientales; así mismo, se encuentran los acuerdos sindicales.</w:t>
      </w:r>
    </w:p>
    <w:p w14:paraId="4772A05A" w14:textId="60C826D5" w:rsidR="00903848" w:rsidRPr="00E8057F" w:rsidRDefault="00C72430" w:rsidP="00903848">
      <w:pPr>
        <w:pStyle w:val="Prrafodelista"/>
        <w:numPr>
          <w:ilvl w:val="0"/>
          <w:numId w:val="21"/>
        </w:numPr>
        <w:jc w:val="both"/>
      </w:pPr>
      <w:r w:rsidRPr="00E8057F">
        <w:t>Como cumplimiento de los derechos de la comunidad se encuentra</w:t>
      </w:r>
      <w:r w:rsidR="00903848" w:rsidRPr="00E8057F">
        <w:t xml:space="preserve"> garantizar la inversión social con la ejecución del Plan de Gestión Social -PGS de la zona de influencia del RSDJ y el cumplimiento de las medidas de compensación social establecidas en la Licencia Ambiental del RSDJ (Resolución 2320 de 2014)</w:t>
      </w:r>
      <w:r w:rsidR="00607E59" w:rsidRPr="00E8057F">
        <w:t xml:space="preserve">, </w:t>
      </w:r>
      <w:r w:rsidR="00903848" w:rsidRPr="00E8057F">
        <w:t>en las comunidades pertenecientes a la zona de influencia del RSDJ.</w:t>
      </w:r>
    </w:p>
    <w:p w14:paraId="5BA2E82D" w14:textId="77777777" w:rsidR="009063A3" w:rsidRPr="00E8057F" w:rsidRDefault="009063A3" w:rsidP="009063A3">
      <w:pPr>
        <w:pStyle w:val="Prrafodelista"/>
        <w:numPr>
          <w:ilvl w:val="0"/>
          <w:numId w:val="21"/>
        </w:numPr>
        <w:jc w:val="both"/>
      </w:pPr>
      <w:r>
        <w:t>Programa de Subsidios Funerarios en los Cementerios de Propiedad del Distrito Capital, orientado a beneficiar a población en condición de vulnerabilidad de acuerdo con los lineamientos establecidos en el Instructivo de Subsidios Funerarios (IN-01 Subsidios Funerarios V1)</w:t>
      </w:r>
    </w:p>
    <w:p w14:paraId="5AA39EEA" w14:textId="038C9511" w:rsidR="00C72430" w:rsidRPr="00E8057F" w:rsidRDefault="00C72430" w:rsidP="00903848">
      <w:pPr>
        <w:pStyle w:val="Prrafodelista"/>
        <w:spacing w:after="0"/>
        <w:ind w:left="1080"/>
        <w:jc w:val="both"/>
      </w:pPr>
    </w:p>
    <w:p w14:paraId="433F557D" w14:textId="77777777" w:rsidR="00903848" w:rsidRPr="00E8057F" w:rsidRDefault="00903848" w:rsidP="00903848">
      <w:pPr>
        <w:pStyle w:val="Prrafodelista"/>
        <w:spacing w:after="0"/>
        <w:ind w:left="1080"/>
        <w:jc w:val="both"/>
      </w:pPr>
    </w:p>
    <w:p w14:paraId="623E87D8" w14:textId="2FCB0B10" w:rsidR="006904BC" w:rsidRPr="00E8057F" w:rsidRDefault="001632A9" w:rsidP="001F45F2">
      <w:pPr>
        <w:pStyle w:val="Ttulo2"/>
        <w:numPr>
          <w:ilvl w:val="1"/>
          <w:numId w:val="26"/>
        </w:numPr>
        <w:rPr>
          <w:rFonts w:asciiTheme="minorHAnsi" w:hAnsiTheme="minorHAnsi"/>
          <w:sz w:val="22"/>
          <w:szCs w:val="22"/>
        </w:rPr>
      </w:pPr>
      <w:bookmarkStart w:id="11" w:name="_Toc18351781"/>
      <w:r w:rsidRPr="00E8057F">
        <w:rPr>
          <w:rFonts w:asciiTheme="minorHAnsi" w:hAnsiTheme="minorHAnsi"/>
          <w:sz w:val="22"/>
          <w:szCs w:val="22"/>
        </w:rPr>
        <w:t>Prácticas laborales</w:t>
      </w:r>
      <w:bookmarkEnd w:id="11"/>
    </w:p>
    <w:p w14:paraId="1B743DE8" w14:textId="1F085503" w:rsidR="007B7469" w:rsidRPr="00E8057F" w:rsidRDefault="007B7469" w:rsidP="007B7469">
      <w:pPr>
        <w:spacing w:after="0"/>
        <w:rPr>
          <w:b/>
        </w:rPr>
      </w:pPr>
    </w:p>
    <w:p w14:paraId="54711979" w14:textId="628FD1A2" w:rsidR="007B7469" w:rsidRPr="00E8057F" w:rsidRDefault="007B7469" w:rsidP="007B7469">
      <w:pPr>
        <w:spacing w:after="0"/>
      </w:pPr>
      <w:r w:rsidRPr="00E8057F">
        <w:t>Las acciones identificadas en esta materia fundamental son:</w:t>
      </w:r>
    </w:p>
    <w:p w14:paraId="426A1017" w14:textId="79F80CD5" w:rsidR="007B7469" w:rsidRPr="00E8057F" w:rsidRDefault="007B7469" w:rsidP="007B7469">
      <w:pPr>
        <w:spacing w:after="0"/>
      </w:pPr>
    </w:p>
    <w:p w14:paraId="588D6E31" w14:textId="4942F72F" w:rsidR="007B7469" w:rsidRPr="00E8057F" w:rsidRDefault="007B7469" w:rsidP="007B7469">
      <w:pPr>
        <w:pStyle w:val="Prrafodelista"/>
        <w:numPr>
          <w:ilvl w:val="0"/>
          <w:numId w:val="25"/>
        </w:numPr>
        <w:jc w:val="both"/>
      </w:pPr>
      <w:r w:rsidRPr="00E8057F">
        <w:t>Concurso de Méritos. (Promoción de la competencia abierta)</w:t>
      </w:r>
    </w:p>
    <w:p w14:paraId="2911A203" w14:textId="5017B99E" w:rsidR="007B7469" w:rsidRPr="00E8057F" w:rsidRDefault="007B7469" w:rsidP="007B7469">
      <w:pPr>
        <w:pStyle w:val="Prrafodelista"/>
        <w:numPr>
          <w:ilvl w:val="0"/>
          <w:numId w:val="25"/>
        </w:numPr>
        <w:jc w:val="both"/>
      </w:pPr>
      <w:r w:rsidRPr="00E8057F">
        <w:t>Habeas Data. (Respeto por la propiedad intelectual y otros derechos de propiedad y respeto por los intereses de los usuarios)</w:t>
      </w:r>
    </w:p>
    <w:p w14:paraId="3938C9E0" w14:textId="2992D863" w:rsidR="007B7469" w:rsidRPr="00E8057F" w:rsidRDefault="007B7469" w:rsidP="007B7469">
      <w:pPr>
        <w:pStyle w:val="Prrafodelista"/>
        <w:numPr>
          <w:ilvl w:val="0"/>
          <w:numId w:val="25"/>
        </w:numPr>
        <w:jc w:val="both"/>
      </w:pPr>
      <w:r w:rsidRPr="00E8057F">
        <w:t>Apropiación Ley de Transparencia y no Tolerancia a la Corrupción. (Lucha contra la corrupción)</w:t>
      </w:r>
    </w:p>
    <w:p w14:paraId="6CAA8760" w14:textId="368E290E" w:rsidR="001632A9" w:rsidRPr="00E8057F" w:rsidRDefault="001632A9" w:rsidP="001F45F2">
      <w:pPr>
        <w:pStyle w:val="Ttulo2"/>
        <w:numPr>
          <w:ilvl w:val="1"/>
          <w:numId w:val="26"/>
        </w:numPr>
        <w:rPr>
          <w:rFonts w:asciiTheme="minorHAnsi" w:hAnsiTheme="minorHAnsi"/>
          <w:sz w:val="22"/>
          <w:szCs w:val="22"/>
        </w:rPr>
      </w:pPr>
      <w:bookmarkStart w:id="12" w:name="_Toc18351782"/>
      <w:r w:rsidRPr="00E8057F">
        <w:rPr>
          <w:rFonts w:asciiTheme="minorHAnsi" w:hAnsiTheme="minorHAnsi"/>
          <w:sz w:val="22"/>
          <w:szCs w:val="22"/>
        </w:rPr>
        <w:t>Medio ambiente</w:t>
      </w:r>
      <w:bookmarkEnd w:id="12"/>
    </w:p>
    <w:p w14:paraId="6469E54D" w14:textId="77777777" w:rsidR="001135EC" w:rsidRPr="00E8057F" w:rsidRDefault="001135EC" w:rsidP="001135EC">
      <w:pPr>
        <w:spacing w:after="0"/>
        <w:rPr>
          <w:b/>
        </w:rPr>
      </w:pPr>
    </w:p>
    <w:p w14:paraId="06C9D7DB" w14:textId="521400A7" w:rsidR="001135EC" w:rsidRPr="00E8057F" w:rsidRDefault="001135EC" w:rsidP="001135EC">
      <w:pPr>
        <w:spacing w:after="0"/>
      </w:pPr>
      <w:r w:rsidRPr="00E8057F">
        <w:t>Las acciones identificadas en esta materia fundamental son:</w:t>
      </w:r>
    </w:p>
    <w:p w14:paraId="115F1E47" w14:textId="4D8EA49F" w:rsidR="001135EC" w:rsidRPr="00E8057F" w:rsidRDefault="001135EC" w:rsidP="001135EC">
      <w:pPr>
        <w:spacing w:after="0"/>
        <w:rPr>
          <w:b/>
        </w:rPr>
      </w:pPr>
    </w:p>
    <w:p w14:paraId="744E45F2" w14:textId="233CE9EE" w:rsidR="001135EC" w:rsidRPr="00E8057F" w:rsidRDefault="001135EC" w:rsidP="001135EC">
      <w:pPr>
        <w:pStyle w:val="Prrafodelista"/>
        <w:numPr>
          <w:ilvl w:val="0"/>
          <w:numId w:val="25"/>
        </w:numPr>
        <w:jc w:val="both"/>
      </w:pPr>
      <w:r w:rsidRPr="00E8057F">
        <w:t>Diseñar lineamientos para la gestión integral de residuos en la ciudad</w:t>
      </w:r>
      <w:r w:rsidR="00C37AE3" w:rsidRPr="00E8057F">
        <w:t xml:space="preserve"> Plan de Gestión Integral de Residuos Sólidos – (PGIRS)</w:t>
      </w:r>
      <w:r w:rsidRPr="00E8057F">
        <w:t>. (Prevención de la contaminación)</w:t>
      </w:r>
    </w:p>
    <w:p w14:paraId="6DB8DB01" w14:textId="793EFA2A" w:rsidR="001135EC" w:rsidRPr="00E8057F" w:rsidRDefault="001135EC" w:rsidP="00C37AE3">
      <w:pPr>
        <w:pStyle w:val="Prrafodelista"/>
        <w:numPr>
          <w:ilvl w:val="0"/>
          <w:numId w:val="25"/>
        </w:numPr>
        <w:jc w:val="both"/>
      </w:pPr>
      <w:r w:rsidRPr="00E8057F">
        <w:t>El Plan Institucional de Gestión Ambiental – PIGA; el PGIRS Y, el plan maestro integral de residuos sólidos – PMIRS.</w:t>
      </w:r>
      <w:r w:rsidR="00D63152" w:rsidRPr="00E8057F">
        <w:t xml:space="preserve"> (</w:t>
      </w:r>
      <w:r w:rsidRPr="00E8057F">
        <w:t>Prevención del calentamiento global</w:t>
      </w:r>
      <w:r w:rsidR="00D63152" w:rsidRPr="00E8057F">
        <w:t>)</w:t>
      </w:r>
      <w:r w:rsidR="00C37AE3" w:rsidRPr="00E8057F">
        <w:t xml:space="preserve">. </w:t>
      </w:r>
      <w:r w:rsidRPr="00E8057F">
        <w:t>Emisión de Gases de Vehículos Propios y Contratados; así como, el Muro Verde</w:t>
      </w:r>
      <w:r w:rsidR="00D63152" w:rsidRPr="00E8057F">
        <w:t>. (Prevención del calentamiento global)</w:t>
      </w:r>
    </w:p>
    <w:p w14:paraId="3DA4F852" w14:textId="2A755810" w:rsidR="00D63152" w:rsidRPr="00E8057F" w:rsidRDefault="00D63152" w:rsidP="006D033F">
      <w:pPr>
        <w:pStyle w:val="Prrafodelista"/>
        <w:numPr>
          <w:ilvl w:val="0"/>
          <w:numId w:val="25"/>
        </w:numPr>
        <w:jc w:val="both"/>
      </w:pPr>
      <w:r w:rsidRPr="00E8057F">
        <w:t>Luminarias LED y Luminarias Fotovoltaicas (Consumo sustentable y uso de la tierra)</w:t>
      </w:r>
    </w:p>
    <w:p w14:paraId="26818690" w14:textId="433376A8" w:rsidR="001135EC" w:rsidRPr="00E8057F" w:rsidRDefault="00607E59" w:rsidP="00D63152">
      <w:pPr>
        <w:pStyle w:val="Prrafodelista"/>
        <w:numPr>
          <w:ilvl w:val="0"/>
          <w:numId w:val="25"/>
        </w:numPr>
        <w:jc w:val="both"/>
        <w:rPr>
          <w:b/>
        </w:rPr>
      </w:pPr>
      <w:r w:rsidRPr="00E8057F">
        <w:t>Para la preservación y restauración de los ecosistemas se garantiza el c</w:t>
      </w:r>
      <w:r w:rsidR="00D63152" w:rsidRPr="00E8057F">
        <w:t>umplimiento de las medidas de compensación ambiental</w:t>
      </w:r>
      <w:r w:rsidRPr="00E8057F">
        <w:t xml:space="preserve"> establecidas en</w:t>
      </w:r>
      <w:r w:rsidR="00D63152" w:rsidRPr="00E8057F">
        <w:t xml:space="preserve"> la Licencia Ambiental del relleno</w:t>
      </w:r>
      <w:r w:rsidRPr="00E8057F">
        <w:t xml:space="preserve"> (Resolución 2320 de 2014)</w:t>
      </w:r>
      <w:r w:rsidR="00D63152" w:rsidRPr="00E8057F">
        <w:t xml:space="preserve"> y</w:t>
      </w:r>
      <w:r w:rsidRPr="00E8057F">
        <w:t xml:space="preserve"> el c</w:t>
      </w:r>
      <w:r w:rsidR="00D63152" w:rsidRPr="00E8057F">
        <w:t xml:space="preserve">umplimiento del contrato 344 de 2010 </w:t>
      </w:r>
      <w:r w:rsidRPr="00E8057F">
        <w:t xml:space="preserve">de ejecución por parte </w:t>
      </w:r>
      <w:r w:rsidR="00D63152" w:rsidRPr="00E8057F">
        <w:t xml:space="preserve"> </w:t>
      </w:r>
      <w:r w:rsidRPr="00E8057F">
        <w:t>d</w:t>
      </w:r>
      <w:r w:rsidR="00D63152" w:rsidRPr="00E8057F">
        <w:t>el operador del relleno</w:t>
      </w:r>
      <w:r w:rsidRPr="00E8057F">
        <w:t>.</w:t>
      </w:r>
    </w:p>
    <w:p w14:paraId="1CB6D78F" w14:textId="77777777" w:rsidR="00B517B6" w:rsidRPr="00E8057F" w:rsidRDefault="00B517B6" w:rsidP="00B517B6">
      <w:pPr>
        <w:pStyle w:val="Prrafodelista"/>
        <w:jc w:val="both"/>
        <w:rPr>
          <w:b/>
        </w:rPr>
      </w:pPr>
    </w:p>
    <w:p w14:paraId="5E59C9B5" w14:textId="35F13FAE" w:rsidR="001632A9" w:rsidRPr="00E8057F" w:rsidRDefault="001632A9" w:rsidP="001F45F2">
      <w:pPr>
        <w:pStyle w:val="Ttulo2"/>
        <w:numPr>
          <w:ilvl w:val="1"/>
          <w:numId w:val="26"/>
        </w:numPr>
        <w:rPr>
          <w:rFonts w:asciiTheme="minorHAnsi" w:hAnsiTheme="minorHAnsi"/>
          <w:sz w:val="22"/>
          <w:szCs w:val="22"/>
        </w:rPr>
      </w:pPr>
      <w:bookmarkStart w:id="13" w:name="_Toc18351783"/>
      <w:r w:rsidRPr="00E8057F">
        <w:rPr>
          <w:rFonts w:asciiTheme="minorHAnsi" w:hAnsiTheme="minorHAnsi"/>
          <w:sz w:val="22"/>
          <w:szCs w:val="22"/>
        </w:rPr>
        <w:t>Prácticas justas de operación</w:t>
      </w:r>
      <w:bookmarkEnd w:id="13"/>
    </w:p>
    <w:p w14:paraId="0324B767" w14:textId="20F179D4" w:rsidR="001135EC" w:rsidRPr="00E8057F" w:rsidRDefault="001135EC" w:rsidP="001135EC">
      <w:pPr>
        <w:spacing w:after="0"/>
        <w:rPr>
          <w:b/>
        </w:rPr>
      </w:pPr>
    </w:p>
    <w:p w14:paraId="6ADB7847" w14:textId="33B45C0B" w:rsidR="001135EC" w:rsidRPr="00E8057F" w:rsidRDefault="001135EC" w:rsidP="001135EC">
      <w:pPr>
        <w:spacing w:after="0"/>
        <w:jc w:val="both"/>
      </w:pPr>
      <w:r w:rsidRPr="00E8057F">
        <w:t>Esta materia fundamental no tiene a la fecha ninguna acción asociada</w:t>
      </w:r>
    </w:p>
    <w:p w14:paraId="293BE7CA" w14:textId="7A380965" w:rsidR="001135EC" w:rsidRPr="00E8057F" w:rsidRDefault="001135EC" w:rsidP="001135EC">
      <w:pPr>
        <w:spacing w:after="0"/>
        <w:jc w:val="both"/>
      </w:pPr>
    </w:p>
    <w:p w14:paraId="52CD5FCD" w14:textId="30276299" w:rsidR="001135EC" w:rsidRPr="00E8057F" w:rsidRDefault="001135EC" w:rsidP="001135EC">
      <w:pPr>
        <w:spacing w:after="0"/>
        <w:jc w:val="both"/>
      </w:pPr>
      <w:r w:rsidRPr="00E8057F">
        <w:t>Las prácticas señaladas en esta materia fundamental son: Promoción de actividades éticas y transparentes; Respeto por la propiedad intelectual y otros derechos de propiedad y respeto por los intereses de los usuarios y, finalmente. Lucha contra la corrupción.</w:t>
      </w:r>
    </w:p>
    <w:p w14:paraId="71FE6397" w14:textId="473F9A28" w:rsidR="00C37AE3" w:rsidRPr="00E8057F" w:rsidRDefault="00C37AE3" w:rsidP="001135EC">
      <w:pPr>
        <w:spacing w:after="0"/>
        <w:jc w:val="both"/>
      </w:pPr>
    </w:p>
    <w:p w14:paraId="07ED7877" w14:textId="77777777" w:rsidR="00C37AE3" w:rsidRPr="00E8057F" w:rsidRDefault="00C37AE3" w:rsidP="00C37AE3">
      <w:pPr>
        <w:pStyle w:val="Prrafodelista"/>
        <w:numPr>
          <w:ilvl w:val="0"/>
          <w:numId w:val="25"/>
        </w:numPr>
        <w:jc w:val="both"/>
      </w:pPr>
      <w:r w:rsidRPr="00E8057F">
        <w:t>Habeas Data. (Respeto por la propiedad intelectual y otros derechos de propiedad y respeto por los intereses de los usuarios)</w:t>
      </w:r>
    </w:p>
    <w:p w14:paraId="3C331B9D" w14:textId="77777777" w:rsidR="00C37AE3" w:rsidRPr="00E8057F" w:rsidRDefault="00C37AE3" w:rsidP="00C37AE3">
      <w:pPr>
        <w:pStyle w:val="Prrafodelista"/>
        <w:numPr>
          <w:ilvl w:val="0"/>
          <w:numId w:val="25"/>
        </w:numPr>
        <w:jc w:val="both"/>
      </w:pPr>
      <w:r w:rsidRPr="00E8057F">
        <w:lastRenderedPageBreak/>
        <w:t>Apropiación Ley de Transparencia y no Tolerancia a la Corrupción. (Lucha contra la corrupción)</w:t>
      </w:r>
    </w:p>
    <w:p w14:paraId="071B91E2" w14:textId="77777777" w:rsidR="00DA16EB" w:rsidRPr="00E8057F" w:rsidRDefault="00DA16EB" w:rsidP="003E7F67">
      <w:pPr>
        <w:spacing w:after="0"/>
      </w:pPr>
    </w:p>
    <w:p w14:paraId="47B83BA8" w14:textId="2B705C7E" w:rsidR="00593AE9" w:rsidRPr="00E8057F" w:rsidRDefault="001632A9" w:rsidP="001F45F2">
      <w:pPr>
        <w:pStyle w:val="Ttulo2"/>
        <w:numPr>
          <w:ilvl w:val="1"/>
          <w:numId w:val="26"/>
        </w:numPr>
        <w:rPr>
          <w:rFonts w:asciiTheme="minorHAnsi" w:hAnsiTheme="minorHAnsi"/>
          <w:sz w:val="22"/>
          <w:szCs w:val="22"/>
        </w:rPr>
      </w:pPr>
      <w:bookmarkStart w:id="14" w:name="_Toc18351784"/>
      <w:r w:rsidRPr="00E8057F">
        <w:rPr>
          <w:rFonts w:asciiTheme="minorHAnsi" w:hAnsiTheme="minorHAnsi"/>
          <w:sz w:val="22"/>
          <w:szCs w:val="22"/>
        </w:rPr>
        <w:t>Atención y servicio a la ciudadanía</w:t>
      </w:r>
      <w:bookmarkEnd w:id="14"/>
    </w:p>
    <w:p w14:paraId="10991B1A" w14:textId="20FF1CDC" w:rsidR="006B194C" w:rsidRPr="00E8057F" w:rsidRDefault="006B194C" w:rsidP="006B194C">
      <w:pPr>
        <w:spacing w:after="0"/>
        <w:rPr>
          <w:b/>
        </w:rPr>
      </w:pPr>
    </w:p>
    <w:p w14:paraId="7F7E2644" w14:textId="03CF2C24" w:rsidR="00DA16EB" w:rsidRPr="00E8057F" w:rsidRDefault="006B194C" w:rsidP="00607E59">
      <w:pPr>
        <w:spacing w:after="0"/>
        <w:jc w:val="both"/>
      </w:pPr>
      <w:r w:rsidRPr="00E8057F">
        <w:t xml:space="preserve">La acción aquí identificada hasta la fecha es: </w:t>
      </w:r>
      <w:r w:rsidR="00607E59" w:rsidRPr="00E8057F">
        <w:t>Garantizar la ejecución del Programa de Información a la comunidad y las organizaciones del Plan de Gestión Social -</w:t>
      </w:r>
      <w:r w:rsidR="00FC7993">
        <w:t xml:space="preserve"> </w:t>
      </w:r>
      <w:r w:rsidR="00607E59" w:rsidRPr="00E8057F">
        <w:t>PGS del Operador del Relleno.</w:t>
      </w:r>
      <w:r w:rsidR="00DB501E" w:rsidRPr="00E8057F">
        <w:t xml:space="preserve"> La expedición de conceptos técnicos en la normatividad y regulación vigente.</w:t>
      </w:r>
    </w:p>
    <w:p w14:paraId="670B2A81" w14:textId="77777777" w:rsidR="00FC7993" w:rsidRDefault="00FC7993" w:rsidP="00607E59">
      <w:pPr>
        <w:spacing w:after="0"/>
        <w:jc w:val="both"/>
      </w:pPr>
    </w:p>
    <w:p w14:paraId="3DEBC096" w14:textId="3DDD1F6B" w:rsidR="00DB501E" w:rsidRPr="00E8057F" w:rsidRDefault="00DB501E" w:rsidP="00607E59">
      <w:pPr>
        <w:spacing w:after="0"/>
        <w:jc w:val="both"/>
      </w:pPr>
      <w:r w:rsidRPr="00E8057F">
        <w:t>Política de protección de datos (Protección a la privacidad de los grupos de interés)</w:t>
      </w:r>
    </w:p>
    <w:p w14:paraId="03068562" w14:textId="3A1A5CD8" w:rsidR="00DB501E" w:rsidRDefault="00DB501E" w:rsidP="00607E59">
      <w:pPr>
        <w:spacing w:after="0"/>
        <w:jc w:val="both"/>
      </w:pPr>
    </w:p>
    <w:p w14:paraId="2068A5CF" w14:textId="09989793" w:rsidR="009C2F62" w:rsidRPr="00E8057F" w:rsidRDefault="009C2F62" w:rsidP="00607E59">
      <w:pPr>
        <w:spacing w:after="0"/>
        <w:jc w:val="both"/>
      </w:pPr>
      <w:r>
        <w:t>Esta Guía fue aprobada por el Comité de Responsabilidad</w:t>
      </w:r>
      <w:bookmarkStart w:id="15" w:name="_GoBack"/>
      <w:bookmarkEnd w:id="15"/>
      <w:r>
        <w:t xml:space="preserve"> Social el día 24 de septiembre de 2019</w:t>
      </w:r>
    </w:p>
    <w:sectPr w:rsidR="009C2F62" w:rsidRPr="00E8057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22DE" w14:textId="77777777" w:rsidR="00B26DA6" w:rsidRDefault="00B26DA6" w:rsidP="00E54DB4">
      <w:pPr>
        <w:spacing w:after="0" w:line="240" w:lineRule="auto"/>
      </w:pPr>
      <w:r>
        <w:separator/>
      </w:r>
    </w:p>
  </w:endnote>
  <w:endnote w:type="continuationSeparator" w:id="0">
    <w:p w14:paraId="2C044748" w14:textId="77777777" w:rsidR="00B26DA6" w:rsidRDefault="00B26DA6" w:rsidP="00E5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MinionPro-Regular">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0853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367E8A5" w14:textId="09890806" w:rsidR="00373B19" w:rsidRPr="001D2259" w:rsidRDefault="00373B19">
            <w:pPr>
              <w:pStyle w:val="Piedepgina"/>
              <w:jc w:val="center"/>
              <w:rPr>
                <w:sz w:val="18"/>
                <w:szCs w:val="18"/>
              </w:rPr>
            </w:pPr>
            <w:r w:rsidRPr="001D2259">
              <w:rPr>
                <w:rFonts w:ascii="Arial Narrow" w:hAnsi="Arial Narrow"/>
                <w:b/>
                <w:bCs/>
                <w:noProof/>
                <w:sz w:val="18"/>
                <w:szCs w:val="18"/>
                <w:lang w:eastAsia="es-CO"/>
              </w:rPr>
              <w:drawing>
                <wp:inline distT="0" distB="0" distL="0" distR="0" wp14:anchorId="62E721BD" wp14:editId="58063244">
                  <wp:extent cx="530225" cy="541655"/>
                  <wp:effectExtent l="0" t="0" r="3175" b="0"/>
                  <wp:docPr id="4" name="Imagen 4" descr="Logos certificación 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certificación SGS"/>
                          <pic:cNvPicPr>
                            <a:picLocks noChangeAspect="1" noChangeArrowheads="1"/>
                          </pic:cNvPicPr>
                        </pic:nvPicPr>
                        <pic:blipFill>
                          <a:blip r:embed="rId1">
                            <a:extLst>
                              <a:ext uri="{28A0092B-C50C-407E-A947-70E740481C1C}">
                                <a14:useLocalDpi xmlns:a14="http://schemas.microsoft.com/office/drawing/2010/main" val="0"/>
                              </a:ext>
                            </a:extLst>
                          </a:blip>
                          <a:srcRect r="62666"/>
                          <a:stretch>
                            <a:fillRect/>
                          </a:stretch>
                        </pic:blipFill>
                        <pic:spPr bwMode="auto">
                          <a:xfrm>
                            <a:off x="0" y="0"/>
                            <a:ext cx="530225" cy="541655"/>
                          </a:xfrm>
                          <a:prstGeom prst="rect">
                            <a:avLst/>
                          </a:prstGeom>
                          <a:noFill/>
                          <a:ln>
                            <a:noFill/>
                          </a:ln>
                        </pic:spPr>
                      </pic:pic>
                    </a:graphicData>
                  </a:graphic>
                </wp:inline>
              </w:drawing>
            </w:r>
            <w:r w:rsidRPr="001D2259">
              <w:rPr>
                <w:sz w:val="18"/>
                <w:szCs w:val="18"/>
              </w:rPr>
              <w:t xml:space="preserve">                                                                          </w:t>
            </w:r>
            <w:r>
              <w:rPr>
                <w:sz w:val="18"/>
                <w:szCs w:val="18"/>
              </w:rPr>
              <w:t xml:space="preserve">                                         </w:t>
            </w:r>
            <w:r w:rsidRPr="001D2259">
              <w:rPr>
                <w:sz w:val="18"/>
                <w:szCs w:val="18"/>
              </w:rPr>
              <w:t xml:space="preserve">                                                     </w:t>
            </w:r>
            <w:r w:rsidRPr="001D2259">
              <w:rPr>
                <w:sz w:val="18"/>
                <w:szCs w:val="18"/>
                <w:lang w:val="es-ES"/>
              </w:rPr>
              <w:t xml:space="preserve">Página </w:t>
            </w:r>
            <w:r w:rsidRPr="001D2259">
              <w:rPr>
                <w:b/>
                <w:bCs/>
                <w:sz w:val="18"/>
                <w:szCs w:val="18"/>
              </w:rPr>
              <w:fldChar w:fldCharType="begin"/>
            </w:r>
            <w:r w:rsidRPr="001D2259">
              <w:rPr>
                <w:b/>
                <w:bCs/>
                <w:sz w:val="18"/>
                <w:szCs w:val="18"/>
              </w:rPr>
              <w:instrText>PAGE</w:instrText>
            </w:r>
            <w:r w:rsidRPr="001D2259">
              <w:rPr>
                <w:b/>
                <w:bCs/>
                <w:sz w:val="18"/>
                <w:szCs w:val="18"/>
              </w:rPr>
              <w:fldChar w:fldCharType="separate"/>
            </w:r>
            <w:r w:rsidR="008A157D">
              <w:rPr>
                <w:b/>
                <w:bCs/>
                <w:noProof/>
                <w:sz w:val="18"/>
                <w:szCs w:val="18"/>
              </w:rPr>
              <w:t>15</w:t>
            </w:r>
            <w:r w:rsidRPr="001D2259">
              <w:rPr>
                <w:b/>
                <w:bCs/>
                <w:sz w:val="18"/>
                <w:szCs w:val="18"/>
              </w:rPr>
              <w:fldChar w:fldCharType="end"/>
            </w:r>
            <w:r w:rsidRPr="001D2259">
              <w:rPr>
                <w:sz w:val="18"/>
                <w:szCs w:val="18"/>
                <w:lang w:val="es-ES"/>
              </w:rPr>
              <w:t xml:space="preserve"> de </w:t>
            </w:r>
            <w:r w:rsidRPr="001D2259">
              <w:rPr>
                <w:b/>
                <w:bCs/>
                <w:sz w:val="18"/>
                <w:szCs w:val="18"/>
              </w:rPr>
              <w:fldChar w:fldCharType="begin"/>
            </w:r>
            <w:r w:rsidRPr="001D2259">
              <w:rPr>
                <w:b/>
                <w:bCs/>
                <w:sz w:val="18"/>
                <w:szCs w:val="18"/>
              </w:rPr>
              <w:instrText>NUMPAGES</w:instrText>
            </w:r>
            <w:r w:rsidRPr="001D2259">
              <w:rPr>
                <w:b/>
                <w:bCs/>
                <w:sz w:val="18"/>
                <w:szCs w:val="18"/>
              </w:rPr>
              <w:fldChar w:fldCharType="separate"/>
            </w:r>
            <w:r w:rsidR="008A157D">
              <w:rPr>
                <w:b/>
                <w:bCs/>
                <w:noProof/>
                <w:sz w:val="18"/>
                <w:szCs w:val="18"/>
              </w:rPr>
              <w:t>15</w:t>
            </w:r>
            <w:r w:rsidRPr="001D2259">
              <w:rPr>
                <w:b/>
                <w:bCs/>
                <w:sz w:val="18"/>
                <w:szCs w:val="18"/>
              </w:rPr>
              <w:fldChar w:fldCharType="end"/>
            </w:r>
          </w:p>
        </w:sdtContent>
      </w:sdt>
    </w:sdtContent>
  </w:sdt>
  <w:p w14:paraId="2F1323E5" w14:textId="77777777" w:rsidR="00373B19" w:rsidRPr="001D2259" w:rsidRDefault="00373B19">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2CFD" w14:textId="77777777" w:rsidR="00B26DA6" w:rsidRDefault="00B26DA6" w:rsidP="00E54DB4">
      <w:pPr>
        <w:spacing w:after="0" w:line="240" w:lineRule="auto"/>
      </w:pPr>
      <w:r>
        <w:separator/>
      </w:r>
    </w:p>
  </w:footnote>
  <w:footnote w:type="continuationSeparator" w:id="0">
    <w:p w14:paraId="6B185DDB" w14:textId="77777777" w:rsidR="00B26DA6" w:rsidRDefault="00B26DA6" w:rsidP="00E54DB4">
      <w:pPr>
        <w:spacing w:after="0" w:line="240" w:lineRule="auto"/>
      </w:pPr>
      <w:r>
        <w:continuationSeparator/>
      </w:r>
    </w:p>
  </w:footnote>
  <w:footnote w:id="1">
    <w:p w14:paraId="099F9DE7" w14:textId="00F5A87C" w:rsidR="00373B19" w:rsidRPr="000B0530" w:rsidRDefault="00373B19" w:rsidP="00711EB3">
      <w:pPr>
        <w:pStyle w:val="Textonotapie"/>
        <w:jc w:val="both"/>
        <w:rPr>
          <w:rFonts w:cstheme="minorHAnsi"/>
          <w:color w:val="222222"/>
          <w:sz w:val="16"/>
          <w:shd w:val="clear" w:color="auto" w:fill="FFFFFF"/>
        </w:rPr>
      </w:pPr>
      <w:r w:rsidRPr="000B0530">
        <w:rPr>
          <w:rFonts w:cstheme="minorHAnsi"/>
          <w:color w:val="222222"/>
          <w:sz w:val="16"/>
          <w:shd w:val="clear" w:color="auto" w:fill="FFFFFF"/>
        </w:rPr>
        <w:footnoteRef/>
      </w:r>
      <w:r w:rsidRPr="000B0530">
        <w:rPr>
          <w:rFonts w:cstheme="minorHAnsi"/>
          <w:color w:val="222222"/>
          <w:sz w:val="16"/>
          <w:shd w:val="clear" w:color="auto" w:fill="FFFFFF"/>
        </w:rPr>
        <w:t xml:space="preserve"> Agentes implicados: </w:t>
      </w:r>
      <w:r w:rsidR="00D92F1C" w:rsidRPr="00711EB3">
        <w:rPr>
          <w:rFonts w:cstheme="minorHAnsi"/>
          <w:color w:val="222222"/>
          <w:sz w:val="16"/>
          <w:shd w:val="clear" w:color="auto" w:fill="FFFFFF"/>
        </w:rPr>
        <w:t xml:space="preserve">Esta denominación aparece originalmente en Mackey, J; </w:t>
      </w:r>
      <w:proofErr w:type="spellStart"/>
      <w:r w:rsidR="00D92F1C" w:rsidRPr="00711EB3">
        <w:rPr>
          <w:rFonts w:cstheme="minorHAnsi"/>
          <w:color w:val="222222"/>
          <w:sz w:val="16"/>
          <w:shd w:val="clear" w:color="auto" w:fill="FFFFFF"/>
        </w:rPr>
        <w:t>Sisodia</w:t>
      </w:r>
      <w:proofErr w:type="spellEnd"/>
      <w:r w:rsidR="00D92F1C" w:rsidRPr="00711EB3">
        <w:rPr>
          <w:rFonts w:cstheme="minorHAnsi"/>
          <w:color w:val="222222"/>
          <w:sz w:val="16"/>
          <w:shd w:val="clear" w:color="auto" w:fill="FFFFFF"/>
        </w:rPr>
        <w:t>, R (2016) Capitalismo consciente. Buenos Aires, Empresa Activa. Los agentes implicados son todas las entidades que generan o reciben el impacto de una empresa. Las empresas conscientes reconocen que cada uno de los agentes implicados es importante, todos están conectados y son interdependientes y deben esforzarse para crear valor para cada uno de ellos. A todos los agentes les motiva una noción compartida de propósito y valores esenciales. Cuando surgen conflictos o potenciales egoísmos entre ellos, las empresas conscientes ponen en funcionamiento la creatividad ilimitada de los seres humanos para crear soluciones de ganar-ganar-ganar-ganar-ganar-ganar que trascienden estos conflictos y crean una armonía de intereses entre ellos.</w:t>
      </w:r>
    </w:p>
  </w:footnote>
  <w:footnote w:id="2">
    <w:p w14:paraId="4DCD38D0" w14:textId="77777777" w:rsidR="00373B19" w:rsidRPr="00CE121D" w:rsidRDefault="00373B19" w:rsidP="00CE121D">
      <w:pPr>
        <w:pStyle w:val="Textonotapie"/>
        <w:jc w:val="both"/>
        <w:rPr>
          <w:rFonts w:cstheme="minorHAnsi"/>
          <w:sz w:val="16"/>
        </w:rPr>
      </w:pPr>
      <w:r>
        <w:rPr>
          <w:rStyle w:val="Refdenotaalpie"/>
        </w:rPr>
        <w:footnoteRef/>
      </w:r>
      <w:r>
        <w:t xml:space="preserve"> </w:t>
      </w:r>
      <w:r w:rsidRPr="00CE121D">
        <w:rPr>
          <w:rFonts w:cstheme="minorHAnsi"/>
          <w:color w:val="222222"/>
          <w:sz w:val="16"/>
          <w:shd w:val="clear" w:color="auto" w:fill="FFFFFF"/>
        </w:rPr>
        <w:t>La RSE y la </w:t>
      </w:r>
      <w:r w:rsidRPr="00CE121D">
        <w:rPr>
          <w:rFonts w:cstheme="minorHAnsi"/>
          <w:b/>
          <w:bCs/>
          <w:color w:val="222222"/>
          <w:sz w:val="16"/>
          <w:shd w:val="clear" w:color="auto" w:fill="FFFFFF"/>
        </w:rPr>
        <w:t>Sostenibilidad</w:t>
      </w:r>
      <w:r w:rsidRPr="00CE121D">
        <w:rPr>
          <w:rFonts w:cstheme="minorHAnsi"/>
          <w:color w:val="222222"/>
          <w:sz w:val="16"/>
          <w:shd w:val="clear" w:color="auto" w:fill="FFFFFF"/>
        </w:rPr>
        <w:t>. ... Según la Comisión Europea </w:t>
      </w:r>
      <w:r w:rsidRPr="00CE121D">
        <w:rPr>
          <w:rFonts w:cstheme="minorHAnsi"/>
          <w:b/>
          <w:bCs/>
          <w:color w:val="222222"/>
          <w:sz w:val="16"/>
          <w:shd w:val="clear" w:color="auto" w:fill="FFFFFF"/>
        </w:rPr>
        <w:t>Responsabilidad Social Empresarial</w:t>
      </w:r>
      <w:r w:rsidRPr="00CE121D">
        <w:rPr>
          <w:rFonts w:cstheme="minorHAnsi"/>
          <w:color w:val="222222"/>
          <w:sz w:val="16"/>
          <w:shd w:val="clear" w:color="auto" w:fill="FFFFFF"/>
        </w:rPr>
        <w:t> es la </w:t>
      </w:r>
      <w:r w:rsidRPr="00CE121D">
        <w:rPr>
          <w:rFonts w:cstheme="minorHAnsi"/>
          <w:b/>
          <w:bCs/>
          <w:color w:val="222222"/>
          <w:sz w:val="16"/>
          <w:shd w:val="clear" w:color="auto" w:fill="FFFFFF"/>
        </w:rPr>
        <w:t>responsabilidad</w:t>
      </w:r>
      <w:r w:rsidRPr="00CE121D">
        <w:rPr>
          <w:rFonts w:cstheme="minorHAnsi"/>
          <w:color w:val="222222"/>
          <w:sz w:val="16"/>
          <w:shd w:val="clear" w:color="auto" w:fill="FFFFFF"/>
        </w:rPr>
        <w:t> de las empresas por sus impactos en la sociedad mientras que </w:t>
      </w:r>
      <w:r w:rsidRPr="00CE121D">
        <w:rPr>
          <w:rFonts w:cstheme="minorHAnsi"/>
          <w:b/>
          <w:bCs/>
          <w:color w:val="222222"/>
          <w:sz w:val="16"/>
          <w:shd w:val="clear" w:color="auto" w:fill="FFFFFF"/>
        </w:rPr>
        <w:t>Sostenibilidad</w:t>
      </w:r>
      <w:r w:rsidRPr="00CE121D">
        <w:rPr>
          <w:rFonts w:cstheme="minorHAnsi"/>
          <w:color w:val="222222"/>
          <w:sz w:val="16"/>
          <w:shd w:val="clear" w:color="auto" w:fill="FFFFFF"/>
        </w:rPr>
        <w:t> es el impacto que se da en las esferas sociales, económicas y ambientales.</w:t>
      </w:r>
    </w:p>
  </w:footnote>
  <w:footnote w:id="3">
    <w:p w14:paraId="55096531" w14:textId="77777777" w:rsidR="00373B19" w:rsidRPr="00113394" w:rsidRDefault="00373B19" w:rsidP="00C74902">
      <w:pPr>
        <w:pStyle w:val="Textonotapie"/>
        <w:rPr>
          <w:sz w:val="16"/>
        </w:rPr>
      </w:pPr>
      <w:r w:rsidRPr="00113394">
        <w:rPr>
          <w:rStyle w:val="Refdenotaalpie"/>
          <w:sz w:val="16"/>
        </w:rPr>
        <w:footnoteRef/>
      </w:r>
      <w:r w:rsidRPr="00113394">
        <w:rPr>
          <w:sz w:val="16"/>
        </w:rPr>
        <w:t xml:space="preserve"> </w:t>
      </w:r>
      <w:hyperlink r:id="rId1" w:history="1">
        <w:r w:rsidRPr="00113394">
          <w:rPr>
            <w:rStyle w:val="Hipervnculo"/>
            <w:color w:val="auto"/>
            <w:sz w:val="16"/>
          </w:rPr>
          <w:t>https://www.unido.org/sites/default/files/2010-11/GC_Brochure_Spanish_0.PDF</w:t>
        </w:r>
      </w:hyperlink>
    </w:p>
  </w:footnote>
  <w:footnote w:id="4">
    <w:p w14:paraId="647BFCA3" w14:textId="77777777" w:rsidR="00373B19" w:rsidRPr="00113394" w:rsidRDefault="00373B19">
      <w:pPr>
        <w:pStyle w:val="Textonotapie"/>
        <w:rPr>
          <w:sz w:val="16"/>
        </w:rPr>
      </w:pPr>
      <w:r w:rsidRPr="00113394">
        <w:rPr>
          <w:rStyle w:val="Refdenotaalpie"/>
          <w:sz w:val="16"/>
        </w:rPr>
        <w:footnoteRef/>
      </w:r>
      <w:r w:rsidRPr="00113394">
        <w:rPr>
          <w:sz w:val="16"/>
        </w:rPr>
        <w:t xml:space="preserve"> </w:t>
      </w:r>
      <w:hyperlink r:id="rId2" w:history="1">
        <w:r w:rsidRPr="00113394">
          <w:rPr>
            <w:rStyle w:val="Hipervnculo"/>
            <w:color w:val="auto"/>
            <w:sz w:val="16"/>
          </w:rPr>
          <w:t>https://eur-lex.europa.eu/legal-content/ES/TXT/PDF/?uri=CELEX:52001DC0366&amp;from=ES</w:t>
        </w:r>
      </w:hyperlink>
    </w:p>
  </w:footnote>
  <w:footnote w:id="5">
    <w:p w14:paraId="0397F261" w14:textId="77777777" w:rsidR="00373B19" w:rsidRPr="00113394" w:rsidRDefault="00373B19" w:rsidP="00BC5828">
      <w:pPr>
        <w:pStyle w:val="Textonotapie"/>
        <w:rPr>
          <w:sz w:val="16"/>
        </w:rPr>
      </w:pPr>
      <w:r w:rsidRPr="00113394">
        <w:rPr>
          <w:rStyle w:val="Refdenotaalpie"/>
          <w:sz w:val="16"/>
        </w:rPr>
        <w:footnoteRef/>
      </w:r>
      <w:r w:rsidRPr="00113394">
        <w:rPr>
          <w:sz w:val="16"/>
        </w:rPr>
        <w:t xml:space="preserve"> </w:t>
      </w:r>
      <w:hyperlink r:id="rId3" w:history="1">
        <w:r w:rsidRPr="00113394">
          <w:rPr>
            <w:rStyle w:val="Hipervnculo"/>
            <w:color w:val="auto"/>
            <w:sz w:val="16"/>
          </w:rPr>
          <w:t>https://citiesprogramme.org/wp-content/uploads/2016/01/Guia-del-Pacto-Mundial-para-Gobiernos-Locales-Convirtiendo-el-Pacto-Mundial-en-fuente-de-Buenas-Pr--cticas-web1.pdf</w:t>
        </w:r>
      </w:hyperlink>
    </w:p>
  </w:footnote>
  <w:footnote w:id="6">
    <w:p w14:paraId="773A1BB2" w14:textId="77777777" w:rsidR="00373B19" w:rsidRPr="00113394" w:rsidRDefault="00373B19">
      <w:pPr>
        <w:pStyle w:val="Textonotapie"/>
        <w:rPr>
          <w:sz w:val="16"/>
        </w:rPr>
      </w:pPr>
      <w:r w:rsidRPr="00113394">
        <w:rPr>
          <w:rStyle w:val="Refdenotaalpie"/>
          <w:sz w:val="16"/>
        </w:rPr>
        <w:footnoteRef/>
      </w:r>
      <w:r w:rsidRPr="00113394">
        <w:rPr>
          <w:sz w:val="16"/>
        </w:rPr>
        <w:t xml:space="preserve"> </w:t>
      </w:r>
      <w:hyperlink r:id="rId4" w:history="1">
        <w:r w:rsidRPr="00113394">
          <w:rPr>
            <w:rStyle w:val="Hipervnculo"/>
            <w:color w:val="auto"/>
            <w:sz w:val="16"/>
          </w:rPr>
          <w:t>http://www.co.undp.org/content/colombia/es/home/sustainable-development-goals.html</w:t>
        </w:r>
      </w:hyperlink>
    </w:p>
  </w:footnote>
  <w:footnote w:id="7">
    <w:p w14:paraId="0B457F2B" w14:textId="77777777" w:rsidR="00373B19" w:rsidRPr="00113394" w:rsidRDefault="00373B19">
      <w:pPr>
        <w:pStyle w:val="Textonotapie"/>
        <w:rPr>
          <w:sz w:val="16"/>
        </w:rPr>
      </w:pPr>
      <w:r w:rsidRPr="00113394">
        <w:rPr>
          <w:rStyle w:val="Refdenotaalpie"/>
          <w:sz w:val="16"/>
        </w:rPr>
        <w:footnoteRef/>
      </w:r>
      <w:r w:rsidRPr="00113394">
        <w:rPr>
          <w:sz w:val="16"/>
        </w:rPr>
        <w:t xml:space="preserve"> </w:t>
      </w:r>
      <w:hyperlink r:id="rId5" w:history="1">
        <w:r w:rsidRPr="00113394">
          <w:rPr>
            <w:rStyle w:val="Hipervnculo"/>
            <w:color w:val="auto"/>
            <w:sz w:val="16"/>
          </w:rPr>
          <w:t>https://tienda.icontec.org/wp-content/uploads/pdfs/GTC180.pdf</w:t>
        </w:r>
      </w:hyperlink>
    </w:p>
  </w:footnote>
  <w:footnote w:id="8">
    <w:p w14:paraId="042C3FB5" w14:textId="77777777" w:rsidR="00373B19" w:rsidRPr="00113394" w:rsidRDefault="00373B19" w:rsidP="00BC5828">
      <w:pPr>
        <w:pStyle w:val="Textonotapie"/>
      </w:pPr>
      <w:r w:rsidRPr="00113394">
        <w:rPr>
          <w:rStyle w:val="Refdenotaalpie"/>
          <w:sz w:val="16"/>
        </w:rPr>
        <w:footnoteRef/>
      </w:r>
      <w:r w:rsidRPr="00113394">
        <w:rPr>
          <w:sz w:val="16"/>
        </w:rPr>
        <w:t xml:space="preserve"> </w:t>
      </w:r>
      <w:hyperlink r:id="rId6" w:history="1">
        <w:r w:rsidRPr="00113394">
          <w:rPr>
            <w:rStyle w:val="Hipervnculo"/>
            <w:color w:val="auto"/>
            <w:sz w:val="16"/>
          </w:rPr>
          <w:t>http://americalatinagenera.org/newsite/images/U4ISO26000.pdf</w:t>
        </w:r>
      </w:hyperlink>
    </w:p>
  </w:footnote>
  <w:footnote w:id="9">
    <w:p w14:paraId="020F4C22" w14:textId="54063662" w:rsidR="00373B19" w:rsidRPr="00113394" w:rsidRDefault="00373B19">
      <w:pPr>
        <w:pStyle w:val="Textonotapie"/>
        <w:rPr>
          <w:lang w:val="es-ES"/>
        </w:rPr>
      </w:pPr>
      <w:r w:rsidRPr="00113394">
        <w:rPr>
          <w:rStyle w:val="Hipervnculo"/>
          <w:color w:val="auto"/>
          <w:sz w:val="16"/>
        </w:rPr>
        <w:footnoteRef/>
      </w:r>
      <w:r w:rsidRPr="00113394">
        <w:rPr>
          <w:rStyle w:val="Hipervnculo"/>
          <w:color w:val="auto"/>
          <w:sz w:val="16"/>
        </w:rPr>
        <w:t xml:space="preserve"> </w:t>
      </w:r>
      <w:hyperlink r:id="rId7" w:history="1">
        <w:r w:rsidRPr="00113394">
          <w:rPr>
            <w:rStyle w:val="Hipervnculo"/>
            <w:color w:val="auto"/>
            <w:sz w:val="16"/>
          </w:rPr>
          <w:t>http://www.corteconstitucional.gov.co/relatoria/2010/T-247-10.htm</w:t>
        </w:r>
      </w:hyperlink>
    </w:p>
  </w:footnote>
  <w:footnote w:id="10">
    <w:p w14:paraId="3094C73D" w14:textId="77777777" w:rsidR="00373B19" w:rsidRPr="00474BE0" w:rsidRDefault="00373B19" w:rsidP="00F32D34">
      <w:pPr>
        <w:pStyle w:val="Textonotapie"/>
        <w:rPr>
          <w:sz w:val="16"/>
        </w:rPr>
      </w:pPr>
      <w:r w:rsidRPr="00474BE0">
        <w:rPr>
          <w:rStyle w:val="Refdenotaalpie"/>
          <w:sz w:val="16"/>
        </w:rPr>
        <w:footnoteRef/>
      </w:r>
      <w:r w:rsidRPr="00474BE0">
        <w:rPr>
          <w:sz w:val="16"/>
        </w:rPr>
        <w:t xml:space="preserve"> http://www.undp.org/content/undp/es/home/sustainable-development-goals.html</w:t>
      </w:r>
    </w:p>
  </w:footnote>
  <w:footnote w:id="11">
    <w:p w14:paraId="56AC49BF" w14:textId="77777777" w:rsidR="00373B19" w:rsidRPr="0099658F" w:rsidRDefault="00373B19" w:rsidP="00F32D34">
      <w:pPr>
        <w:pStyle w:val="Textonotapie"/>
        <w:rPr>
          <w:lang w:val="en-US"/>
        </w:rPr>
      </w:pPr>
      <w:r w:rsidRPr="00474BE0">
        <w:rPr>
          <w:rStyle w:val="Refdenotaalpie"/>
          <w:sz w:val="16"/>
        </w:rPr>
        <w:footnoteRef/>
      </w:r>
      <w:r w:rsidRPr="0099658F">
        <w:rPr>
          <w:sz w:val="16"/>
          <w:lang w:val="en-US"/>
        </w:rPr>
        <w:t xml:space="preserve"> Idem</w:t>
      </w:r>
    </w:p>
  </w:footnote>
  <w:footnote w:id="12">
    <w:p w14:paraId="0D31B443" w14:textId="70815252" w:rsidR="00373B19" w:rsidRPr="00711EB3" w:rsidRDefault="00373B19">
      <w:pPr>
        <w:pStyle w:val="Textonotapie"/>
        <w:rPr>
          <w:rStyle w:val="Refdenotaalpie"/>
        </w:rPr>
      </w:pPr>
      <w:r w:rsidRPr="00711EB3">
        <w:rPr>
          <w:rStyle w:val="Refdenotaalpie"/>
        </w:rPr>
        <w:footnoteRef/>
      </w:r>
      <w:r w:rsidRPr="00711EB3">
        <w:rPr>
          <w:rStyle w:val="Refdenotaalpie"/>
        </w:rPr>
        <w:t xml:space="preserve"> </w:t>
      </w:r>
      <w:hyperlink r:id="rId8" w:history="1">
        <w:r w:rsidR="00B85476" w:rsidRPr="00711EB3">
          <w:rPr>
            <w:sz w:val="16"/>
          </w:rPr>
          <w:t>https://www.un.org/sustainabledevelopment/es/economic-growth/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A9A7" w14:textId="6DF475E4" w:rsidR="00373B19" w:rsidRDefault="00373B19" w:rsidP="001F45F2">
    <w:pPr>
      <w:pStyle w:val="Encabezado"/>
      <w:rPr>
        <w:color w:val="8496B0" w:themeColor="text2" w:themeTint="99"/>
        <w:sz w:val="24"/>
        <w:szCs w:val="24"/>
      </w:rPr>
    </w:pPr>
    <w:r>
      <w:rPr>
        <w:noProof/>
        <w:lang w:eastAsia="es-CO"/>
      </w:rPr>
      <w:drawing>
        <wp:inline distT="0" distB="0" distL="0" distR="0" wp14:anchorId="619F6F78" wp14:editId="3C84304D">
          <wp:extent cx="655608" cy="679744"/>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250" cy="682483"/>
                  </a:xfrm>
                  <a:prstGeom prst="rect">
                    <a:avLst/>
                  </a:prstGeom>
                  <a:noFill/>
                  <a:ln>
                    <a:noFill/>
                  </a:ln>
                </pic:spPr>
              </pic:pic>
            </a:graphicData>
          </a:graphic>
        </wp:inline>
      </w:drawing>
    </w:r>
  </w:p>
  <w:p w14:paraId="343E444F" w14:textId="77777777" w:rsidR="00373B19" w:rsidRDefault="00373B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B4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53314"/>
    <w:multiLevelType w:val="hybridMultilevel"/>
    <w:tmpl w:val="6C349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2B266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34F54"/>
    <w:multiLevelType w:val="hybridMultilevel"/>
    <w:tmpl w:val="D7A8C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67DFC"/>
    <w:multiLevelType w:val="multilevel"/>
    <w:tmpl w:val="0C8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46358"/>
    <w:multiLevelType w:val="multilevel"/>
    <w:tmpl w:val="C5C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C7007"/>
    <w:multiLevelType w:val="hybridMultilevel"/>
    <w:tmpl w:val="D58CFF1A"/>
    <w:lvl w:ilvl="0" w:tplc="240A0001">
      <w:start w:val="1"/>
      <w:numFmt w:val="bullet"/>
      <w:lvlText w:val=""/>
      <w:lvlJc w:val="left"/>
      <w:pPr>
        <w:ind w:left="720" w:hanging="360"/>
      </w:pPr>
      <w:rPr>
        <w:rFonts w:ascii="Symbol" w:hAnsi="Symbol" w:hint="default"/>
      </w:rPr>
    </w:lvl>
    <w:lvl w:ilvl="1" w:tplc="0FF8F01A">
      <w:numFmt w:val="bullet"/>
      <w:lvlText w:val="•"/>
      <w:lvlJc w:val="left"/>
      <w:pPr>
        <w:ind w:left="1830" w:hanging="75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3650FF"/>
    <w:multiLevelType w:val="multilevel"/>
    <w:tmpl w:val="1BB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40B2F"/>
    <w:multiLevelType w:val="hybridMultilevel"/>
    <w:tmpl w:val="A51462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941C40"/>
    <w:multiLevelType w:val="multilevel"/>
    <w:tmpl w:val="127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44AD8"/>
    <w:multiLevelType w:val="multilevel"/>
    <w:tmpl w:val="EAA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D3D72"/>
    <w:multiLevelType w:val="hybridMultilevel"/>
    <w:tmpl w:val="FE32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2721DC"/>
    <w:multiLevelType w:val="multilevel"/>
    <w:tmpl w:val="6DC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6642A"/>
    <w:multiLevelType w:val="hybridMultilevel"/>
    <w:tmpl w:val="DB18E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2445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00554"/>
    <w:multiLevelType w:val="multilevel"/>
    <w:tmpl w:val="D16A767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AF074A"/>
    <w:multiLevelType w:val="hybridMultilevel"/>
    <w:tmpl w:val="4878A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B9298D"/>
    <w:multiLevelType w:val="multilevel"/>
    <w:tmpl w:val="831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64F7D"/>
    <w:multiLevelType w:val="hybridMultilevel"/>
    <w:tmpl w:val="7CEE36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5F217F5"/>
    <w:multiLevelType w:val="multilevel"/>
    <w:tmpl w:val="6F5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D54C4"/>
    <w:multiLevelType w:val="hybridMultilevel"/>
    <w:tmpl w:val="3F425B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AE671F5"/>
    <w:multiLevelType w:val="hybridMultilevel"/>
    <w:tmpl w:val="4ABED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A7C13"/>
    <w:multiLevelType w:val="hybridMultilevel"/>
    <w:tmpl w:val="7584B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BC0F15"/>
    <w:multiLevelType w:val="hybridMultilevel"/>
    <w:tmpl w:val="AAD658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EF94CC4"/>
    <w:multiLevelType w:val="hybridMultilevel"/>
    <w:tmpl w:val="A10A7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DD5D8E"/>
    <w:multiLevelType w:val="hybridMultilevel"/>
    <w:tmpl w:val="9058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AE3660"/>
    <w:multiLevelType w:val="multilevel"/>
    <w:tmpl w:val="7F3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8"/>
  </w:num>
  <w:num w:numId="4">
    <w:abstractNumId w:val="15"/>
  </w:num>
  <w:num w:numId="5">
    <w:abstractNumId w:val="24"/>
  </w:num>
  <w:num w:numId="6">
    <w:abstractNumId w:val="0"/>
  </w:num>
  <w:num w:numId="7">
    <w:abstractNumId w:val="2"/>
  </w:num>
  <w:num w:numId="8">
    <w:abstractNumId w:val="9"/>
  </w:num>
  <w:num w:numId="9">
    <w:abstractNumId w:val="7"/>
  </w:num>
  <w:num w:numId="10">
    <w:abstractNumId w:val="5"/>
  </w:num>
  <w:num w:numId="11">
    <w:abstractNumId w:val="4"/>
  </w:num>
  <w:num w:numId="12">
    <w:abstractNumId w:val="19"/>
  </w:num>
  <w:num w:numId="13">
    <w:abstractNumId w:val="12"/>
  </w:num>
  <w:num w:numId="14">
    <w:abstractNumId w:val="10"/>
  </w:num>
  <w:num w:numId="15">
    <w:abstractNumId w:val="17"/>
  </w:num>
  <w:num w:numId="16">
    <w:abstractNumId w:val="6"/>
  </w:num>
  <w:num w:numId="17">
    <w:abstractNumId w:val="1"/>
  </w:num>
  <w:num w:numId="18">
    <w:abstractNumId w:val="22"/>
  </w:num>
  <w:num w:numId="19">
    <w:abstractNumId w:val="11"/>
  </w:num>
  <w:num w:numId="20">
    <w:abstractNumId w:val="26"/>
  </w:num>
  <w:num w:numId="21">
    <w:abstractNumId w:val="18"/>
  </w:num>
  <w:num w:numId="22">
    <w:abstractNumId w:val="23"/>
  </w:num>
  <w:num w:numId="23">
    <w:abstractNumId w:val="20"/>
  </w:num>
  <w:num w:numId="24">
    <w:abstractNumId w:val="25"/>
  </w:num>
  <w:num w:numId="25">
    <w:abstractNumId w:val="21"/>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E9"/>
    <w:rsid w:val="000007C5"/>
    <w:rsid w:val="000051B0"/>
    <w:rsid w:val="000219A4"/>
    <w:rsid w:val="000277D7"/>
    <w:rsid w:val="0003678A"/>
    <w:rsid w:val="00063298"/>
    <w:rsid w:val="000701AE"/>
    <w:rsid w:val="00094560"/>
    <w:rsid w:val="000B0530"/>
    <w:rsid w:val="000C5DD2"/>
    <w:rsid w:val="000E4D6C"/>
    <w:rsid w:val="00100D03"/>
    <w:rsid w:val="00113394"/>
    <w:rsid w:val="001135EC"/>
    <w:rsid w:val="0011610A"/>
    <w:rsid w:val="001341E6"/>
    <w:rsid w:val="0014279C"/>
    <w:rsid w:val="00147080"/>
    <w:rsid w:val="001632A9"/>
    <w:rsid w:val="00175A69"/>
    <w:rsid w:val="00180269"/>
    <w:rsid w:val="00183FF3"/>
    <w:rsid w:val="001A2C9C"/>
    <w:rsid w:val="001B21EC"/>
    <w:rsid w:val="001C68DD"/>
    <w:rsid w:val="001D2259"/>
    <w:rsid w:val="001D4F06"/>
    <w:rsid w:val="001E5046"/>
    <w:rsid w:val="001E6FD7"/>
    <w:rsid w:val="001F45F2"/>
    <w:rsid w:val="00207A9A"/>
    <w:rsid w:val="0021076C"/>
    <w:rsid w:val="00211E54"/>
    <w:rsid w:val="002157F7"/>
    <w:rsid w:val="00220225"/>
    <w:rsid w:val="002303F0"/>
    <w:rsid w:val="002407D0"/>
    <w:rsid w:val="00242A0C"/>
    <w:rsid w:val="00252C6B"/>
    <w:rsid w:val="00284E50"/>
    <w:rsid w:val="002940C5"/>
    <w:rsid w:val="002B48FE"/>
    <w:rsid w:val="002B5797"/>
    <w:rsid w:val="002D50A9"/>
    <w:rsid w:val="002E73AE"/>
    <w:rsid w:val="002F71A2"/>
    <w:rsid w:val="0030048F"/>
    <w:rsid w:val="00304A53"/>
    <w:rsid w:val="00321820"/>
    <w:rsid w:val="00345FE7"/>
    <w:rsid w:val="0034762E"/>
    <w:rsid w:val="00347F01"/>
    <w:rsid w:val="00355972"/>
    <w:rsid w:val="00370922"/>
    <w:rsid w:val="00373B19"/>
    <w:rsid w:val="003870FB"/>
    <w:rsid w:val="003943D2"/>
    <w:rsid w:val="0039789C"/>
    <w:rsid w:val="003B0AFF"/>
    <w:rsid w:val="003B673C"/>
    <w:rsid w:val="003C5F87"/>
    <w:rsid w:val="003E7F67"/>
    <w:rsid w:val="004212FD"/>
    <w:rsid w:val="0042243F"/>
    <w:rsid w:val="00425DDB"/>
    <w:rsid w:val="00436A39"/>
    <w:rsid w:val="004512BC"/>
    <w:rsid w:val="00474BE0"/>
    <w:rsid w:val="0048609C"/>
    <w:rsid w:val="004961F0"/>
    <w:rsid w:val="004A61A7"/>
    <w:rsid w:val="004C3EB0"/>
    <w:rsid w:val="004C7406"/>
    <w:rsid w:val="004D20D2"/>
    <w:rsid w:val="004E2E74"/>
    <w:rsid w:val="00501F1A"/>
    <w:rsid w:val="00502B25"/>
    <w:rsid w:val="00513442"/>
    <w:rsid w:val="00520AC8"/>
    <w:rsid w:val="0052434C"/>
    <w:rsid w:val="00527969"/>
    <w:rsid w:val="00547A1D"/>
    <w:rsid w:val="005904BE"/>
    <w:rsid w:val="00590C60"/>
    <w:rsid w:val="00593AE9"/>
    <w:rsid w:val="005A06D8"/>
    <w:rsid w:val="005A3426"/>
    <w:rsid w:val="005A6CFF"/>
    <w:rsid w:val="005B3DC7"/>
    <w:rsid w:val="005C2AC2"/>
    <w:rsid w:val="005E0D69"/>
    <w:rsid w:val="005E40C1"/>
    <w:rsid w:val="006047A8"/>
    <w:rsid w:val="00607E59"/>
    <w:rsid w:val="00635DE7"/>
    <w:rsid w:val="006528E5"/>
    <w:rsid w:val="006641FE"/>
    <w:rsid w:val="00683D30"/>
    <w:rsid w:val="006904BC"/>
    <w:rsid w:val="006A35C0"/>
    <w:rsid w:val="006A4108"/>
    <w:rsid w:val="006B0A7B"/>
    <w:rsid w:val="006B194C"/>
    <w:rsid w:val="006B4375"/>
    <w:rsid w:val="006B6440"/>
    <w:rsid w:val="006C255C"/>
    <w:rsid w:val="006D033F"/>
    <w:rsid w:val="006E5A02"/>
    <w:rsid w:val="006F2C7A"/>
    <w:rsid w:val="00711EB3"/>
    <w:rsid w:val="00720205"/>
    <w:rsid w:val="00725D1C"/>
    <w:rsid w:val="00742E88"/>
    <w:rsid w:val="00742FAE"/>
    <w:rsid w:val="007433A5"/>
    <w:rsid w:val="00744E7F"/>
    <w:rsid w:val="007715FF"/>
    <w:rsid w:val="00786AA9"/>
    <w:rsid w:val="00795B51"/>
    <w:rsid w:val="007967A5"/>
    <w:rsid w:val="00797879"/>
    <w:rsid w:val="007B6C4B"/>
    <w:rsid w:val="007B7469"/>
    <w:rsid w:val="007C456E"/>
    <w:rsid w:val="007F1839"/>
    <w:rsid w:val="008138BA"/>
    <w:rsid w:val="0083610C"/>
    <w:rsid w:val="00857855"/>
    <w:rsid w:val="00882E04"/>
    <w:rsid w:val="008944E3"/>
    <w:rsid w:val="00897899"/>
    <w:rsid w:val="008A157D"/>
    <w:rsid w:val="008C2701"/>
    <w:rsid w:val="008D4172"/>
    <w:rsid w:val="008D53A7"/>
    <w:rsid w:val="008E4243"/>
    <w:rsid w:val="008F3958"/>
    <w:rsid w:val="00902D65"/>
    <w:rsid w:val="00903848"/>
    <w:rsid w:val="009063A3"/>
    <w:rsid w:val="00944806"/>
    <w:rsid w:val="0097618E"/>
    <w:rsid w:val="00980DA3"/>
    <w:rsid w:val="0099658F"/>
    <w:rsid w:val="009A7371"/>
    <w:rsid w:val="009C1480"/>
    <w:rsid w:val="009C2F62"/>
    <w:rsid w:val="009C34CE"/>
    <w:rsid w:val="00A11282"/>
    <w:rsid w:val="00A1325E"/>
    <w:rsid w:val="00A15C67"/>
    <w:rsid w:val="00A26AB0"/>
    <w:rsid w:val="00A26AC9"/>
    <w:rsid w:val="00A313EF"/>
    <w:rsid w:val="00A44DBB"/>
    <w:rsid w:val="00A6615F"/>
    <w:rsid w:val="00A66618"/>
    <w:rsid w:val="00A710AF"/>
    <w:rsid w:val="00A936BD"/>
    <w:rsid w:val="00AB7457"/>
    <w:rsid w:val="00AD3073"/>
    <w:rsid w:val="00AE1CA5"/>
    <w:rsid w:val="00B261C5"/>
    <w:rsid w:val="00B26DA6"/>
    <w:rsid w:val="00B33359"/>
    <w:rsid w:val="00B517B6"/>
    <w:rsid w:val="00B70814"/>
    <w:rsid w:val="00B85476"/>
    <w:rsid w:val="00BB1087"/>
    <w:rsid w:val="00BB38A9"/>
    <w:rsid w:val="00BC01FC"/>
    <w:rsid w:val="00BC5828"/>
    <w:rsid w:val="00BD7A7A"/>
    <w:rsid w:val="00BE260A"/>
    <w:rsid w:val="00C011EF"/>
    <w:rsid w:val="00C14458"/>
    <w:rsid w:val="00C23C3D"/>
    <w:rsid w:val="00C307C7"/>
    <w:rsid w:val="00C36DD7"/>
    <w:rsid w:val="00C37AE3"/>
    <w:rsid w:val="00C37C2E"/>
    <w:rsid w:val="00C61CE2"/>
    <w:rsid w:val="00C625C8"/>
    <w:rsid w:val="00C65211"/>
    <w:rsid w:val="00C67296"/>
    <w:rsid w:val="00C72430"/>
    <w:rsid w:val="00C74902"/>
    <w:rsid w:val="00C77597"/>
    <w:rsid w:val="00C90363"/>
    <w:rsid w:val="00CC355D"/>
    <w:rsid w:val="00CC42DA"/>
    <w:rsid w:val="00CE121D"/>
    <w:rsid w:val="00CE1F2D"/>
    <w:rsid w:val="00D16589"/>
    <w:rsid w:val="00D17106"/>
    <w:rsid w:val="00D27F79"/>
    <w:rsid w:val="00D330E1"/>
    <w:rsid w:val="00D350ED"/>
    <w:rsid w:val="00D45C84"/>
    <w:rsid w:val="00D53D28"/>
    <w:rsid w:val="00D63152"/>
    <w:rsid w:val="00D637FD"/>
    <w:rsid w:val="00D70118"/>
    <w:rsid w:val="00D751F2"/>
    <w:rsid w:val="00D83C2A"/>
    <w:rsid w:val="00D92F1C"/>
    <w:rsid w:val="00DA16EB"/>
    <w:rsid w:val="00DB501E"/>
    <w:rsid w:val="00DD03B8"/>
    <w:rsid w:val="00DD44FB"/>
    <w:rsid w:val="00DE10B3"/>
    <w:rsid w:val="00DF1628"/>
    <w:rsid w:val="00DF1D7F"/>
    <w:rsid w:val="00E54DB4"/>
    <w:rsid w:val="00E659AE"/>
    <w:rsid w:val="00E77DD3"/>
    <w:rsid w:val="00E8057F"/>
    <w:rsid w:val="00E841AE"/>
    <w:rsid w:val="00E942CB"/>
    <w:rsid w:val="00EB1C99"/>
    <w:rsid w:val="00EC37D1"/>
    <w:rsid w:val="00EE2AEC"/>
    <w:rsid w:val="00EE4138"/>
    <w:rsid w:val="00EE5AC4"/>
    <w:rsid w:val="00EF31E2"/>
    <w:rsid w:val="00F00ABF"/>
    <w:rsid w:val="00F226DC"/>
    <w:rsid w:val="00F32D34"/>
    <w:rsid w:val="00F352BD"/>
    <w:rsid w:val="00F35501"/>
    <w:rsid w:val="00F35DD0"/>
    <w:rsid w:val="00F527C4"/>
    <w:rsid w:val="00F73573"/>
    <w:rsid w:val="00FC7993"/>
    <w:rsid w:val="00FD4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8AA9"/>
  <w15:docId w15:val="{9D13C7A3-5699-6B45-A0F8-CE92FD07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1A2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1F45F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4BC"/>
    <w:pPr>
      <w:ind w:left="720"/>
      <w:contextualSpacing/>
    </w:pPr>
  </w:style>
  <w:style w:type="paragraph" w:styleId="Textodeglobo">
    <w:name w:val="Balloon Text"/>
    <w:basedOn w:val="Normal"/>
    <w:link w:val="TextodegloboCar"/>
    <w:uiPriority w:val="99"/>
    <w:semiHidden/>
    <w:unhideWhenUsed/>
    <w:rsid w:val="00720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205"/>
    <w:rPr>
      <w:rFonts w:ascii="Segoe UI" w:hAnsi="Segoe UI" w:cs="Segoe UI"/>
      <w:sz w:val="18"/>
      <w:szCs w:val="18"/>
    </w:rPr>
  </w:style>
  <w:style w:type="table" w:styleId="Tablaconcuadrcula">
    <w:name w:val="Table Grid"/>
    <w:basedOn w:val="Tablanormal"/>
    <w:uiPriority w:val="39"/>
    <w:rsid w:val="00DA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DA16E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E7F6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E7F6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lista5oscura-nfasis11">
    <w:name w:val="Tabla de lista 5 oscura - Énfasis 11"/>
    <w:basedOn w:val="Tablanormal"/>
    <w:uiPriority w:val="50"/>
    <w:rsid w:val="0089789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11">
    <w:name w:val="Tabla con cuadrícula 5 oscura - Énfasis 1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51">
    <w:name w:val="Tabla con cuadrícula 5 oscura - Énfasis 5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5oscura-nfasis61">
    <w:name w:val="Tabla con cuadrícula 5 oscura - Énfasis 6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5oscura-nfasis41">
    <w:name w:val="Tabla con cuadrícula 5 oscura - Énfasis 4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5oscura-nfasis21">
    <w:name w:val="Tabla con cuadrícula 5 oscura - Énfasis 2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4-nfasis61">
    <w:name w:val="Tabla con cuadrícula 4 - Énfasis 61"/>
    <w:basedOn w:val="Tablanormal"/>
    <w:uiPriority w:val="49"/>
    <w:rsid w:val="008978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41">
    <w:name w:val="Tabla con cuadrícula 4 - Énfasis 41"/>
    <w:basedOn w:val="Tablanormal"/>
    <w:uiPriority w:val="49"/>
    <w:rsid w:val="008978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21">
    <w:name w:val="Tabla con cuadrícul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21">
    <w:name w:val="Tabla de list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54D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DB4"/>
    <w:rPr>
      <w:sz w:val="20"/>
      <w:szCs w:val="20"/>
    </w:rPr>
  </w:style>
  <w:style w:type="character" w:styleId="Refdenotaalpie">
    <w:name w:val="footnote reference"/>
    <w:basedOn w:val="Fuentedeprrafopredeter"/>
    <w:uiPriority w:val="99"/>
    <w:semiHidden/>
    <w:unhideWhenUsed/>
    <w:rsid w:val="00E54DB4"/>
    <w:rPr>
      <w:vertAlign w:val="superscript"/>
    </w:rPr>
  </w:style>
  <w:style w:type="character" w:styleId="Hipervnculo">
    <w:name w:val="Hyperlink"/>
    <w:basedOn w:val="Fuentedeprrafopredeter"/>
    <w:uiPriority w:val="99"/>
    <w:unhideWhenUsed/>
    <w:rsid w:val="00F32D34"/>
    <w:rPr>
      <w:color w:val="0000FF"/>
      <w:u w:val="single"/>
    </w:rPr>
  </w:style>
  <w:style w:type="paragraph" w:styleId="Encabezado">
    <w:name w:val="header"/>
    <w:basedOn w:val="Normal"/>
    <w:link w:val="EncabezadoCar"/>
    <w:uiPriority w:val="99"/>
    <w:unhideWhenUsed/>
    <w:rsid w:val="00796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7A5"/>
  </w:style>
  <w:style w:type="paragraph" w:styleId="Piedepgina">
    <w:name w:val="footer"/>
    <w:basedOn w:val="Normal"/>
    <w:link w:val="PiedepginaCar"/>
    <w:uiPriority w:val="99"/>
    <w:unhideWhenUsed/>
    <w:rsid w:val="00796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7A5"/>
  </w:style>
  <w:style w:type="paragraph" w:styleId="NormalWeb">
    <w:name w:val="Normal (Web)"/>
    <w:basedOn w:val="Normal"/>
    <w:uiPriority w:val="99"/>
    <w:semiHidden/>
    <w:unhideWhenUsed/>
    <w:rsid w:val="00CC35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C355D"/>
    <w:rPr>
      <w:b/>
      <w:bCs/>
    </w:rPr>
  </w:style>
  <w:style w:type="character" w:styleId="Refdecomentario">
    <w:name w:val="annotation reference"/>
    <w:basedOn w:val="Fuentedeprrafopredeter"/>
    <w:uiPriority w:val="99"/>
    <w:semiHidden/>
    <w:unhideWhenUsed/>
    <w:rsid w:val="006641FE"/>
    <w:rPr>
      <w:sz w:val="16"/>
      <w:szCs w:val="16"/>
    </w:rPr>
  </w:style>
  <w:style w:type="paragraph" w:styleId="Textocomentario">
    <w:name w:val="annotation text"/>
    <w:basedOn w:val="Normal"/>
    <w:link w:val="TextocomentarioCar"/>
    <w:uiPriority w:val="99"/>
    <w:unhideWhenUsed/>
    <w:rsid w:val="006641FE"/>
    <w:pPr>
      <w:spacing w:line="240" w:lineRule="auto"/>
    </w:pPr>
    <w:rPr>
      <w:sz w:val="20"/>
      <w:szCs w:val="20"/>
    </w:rPr>
  </w:style>
  <w:style w:type="character" w:customStyle="1" w:styleId="TextocomentarioCar">
    <w:name w:val="Texto comentario Car"/>
    <w:basedOn w:val="Fuentedeprrafopredeter"/>
    <w:link w:val="Textocomentario"/>
    <w:uiPriority w:val="99"/>
    <w:rsid w:val="006641FE"/>
    <w:rPr>
      <w:sz w:val="20"/>
      <w:szCs w:val="20"/>
    </w:rPr>
  </w:style>
  <w:style w:type="paragraph" w:styleId="Asuntodelcomentario">
    <w:name w:val="annotation subject"/>
    <w:basedOn w:val="Textocomentario"/>
    <w:next w:val="Textocomentario"/>
    <w:link w:val="AsuntodelcomentarioCar"/>
    <w:uiPriority w:val="99"/>
    <w:semiHidden/>
    <w:unhideWhenUsed/>
    <w:rsid w:val="006641FE"/>
    <w:rPr>
      <w:b/>
      <w:bCs/>
    </w:rPr>
  </w:style>
  <w:style w:type="character" w:customStyle="1" w:styleId="AsuntodelcomentarioCar">
    <w:name w:val="Asunto del comentario Car"/>
    <w:basedOn w:val="TextocomentarioCar"/>
    <w:link w:val="Asuntodelcomentario"/>
    <w:uiPriority w:val="99"/>
    <w:semiHidden/>
    <w:rsid w:val="006641FE"/>
    <w:rPr>
      <w:b/>
      <w:bCs/>
      <w:sz w:val="20"/>
      <w:szCs w:val="20"/>
    </w:rPr>
  </w:style>
  <w:style w:type="table" w:customStyle="1" w:styleId="Tablaconcuadrcula6concolores-nfasis21">
    <w:name w:val="Tabla con cuadrícula 6 con colores - Énfasis 21"/>
    <w:basedOn w:val="Tablanormal"/>
    <w:uiPriority w:val="51"/>
    <w:rsid w:val="000C5DD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n">
    <w:name w:val="Revision"/>
    <w:hidden/>
    <w:uiPriority w:val="99"/>
    <w:semiHidden/>
    <w:rsid w:val="00474BE0"/>
    <w:pPr>
      <w:spacing w:after="0" w:line="240" w:lineRule="auto"/>
    </w:pPr>
  </w:style>
  <w:style w:type="character" w:customStyle="1" w:styleId="Ttulo1Car">
    <w:name w:val="Título 1 Car"/>
    <w:basedOn w:val="Fuentedeprrafopredeter"/>
    <w:link w:val="Ttulo1"/>
    <w:uiPriority w:val="9"/>
    <w:rsid w:val="001A2C9C"/>
    <w:rPr>
      <w:rFonts w:ascii="Times New Roman" w:eastAsia="Times New Roman" w:hAnsi="Times New Roman" w:cs="Times New Roman"/>
      <w:b/>
      <w:bCs/>
      <w:kern w:val="36"/>
      <w:sz w:val="48"/>
      <w:szCs w:val="48"/>
      <w:lang w:eastAsia="es-CO"/>
    </w:rPr>
  </w:style>
  <w:style w:type="character" w:styleId="nfasis">
    <w:name w:val="Emphasis"/>
    <w:basedOn w:val="Fuentedeprrafopredeter"/>
    <w:uiPriority w:val="20"/>
    <w:qFormat/>
    <w:rsid w:val="007C456E"/>
    <w:rPr>
      <w:i/>
      <w:iCs/>
    </w:rPr>
  </w:style>
  <w:style w:type="character" w:customStyle="1" w:styleId="Ttulo2Car">
    <w:name w:val="Título 2 Car"/>
    <w:basedOn w:val="Fuentedeprrafopredeter"/>
    <w:link w:val="Ttulo2"/>
    <w:uiPriority w:val="9"/>
    <w:rsid w:val="001F45F2"/>
    <w:rPr>
      <w:rFonts w:asciiTheme="majorHAnsi" w:eastAsiaTheme="majorEastAsia" w:hAnsiTheme="majorHAnsi" w:cstheme="majorBidi"/>
      <w:b/>
      <w:bCs/>
      <w:color w:val="4472C4" w:themeColor="accent1"/>
      <w:sz w:val="26"/>
      <w:szCs w:val="26"/>
    </w:rPr>
  </w:style>
  <w:style w:type="paragraph" w:styleId="TtuloTDC">
    <w:name w:val="TOC Heading"/>
    <w:basedOn w:val="Ttulo1"/>
    <w:next w:val="Normal"/>
    <w:uiPriority w:val="39"/>
    <w:semiHidden/>
    <w:unhideWhenUsed/>
    <w:qFormat/>
    <w:rsid w:val="00E8057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s-ES" w:eastAsia="es-ES"/>
    </w:rPr>
  </w:style>
  <w:style w:type="paragraph" w:styleId="TDC2">
    <w:name w:val="toc 2"/>
    <w:basedOn w:val="Normal"/>
    <w:next w:val="Normal"/>
    <w:autoRedefine/>
    <w:uiPriority w:val="39"/>
    <w:unhideWhenUsed/>
    <w:rsid w:val="00E8057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6556">
      <w:bodyDiv w:val="1"/>
      <w:marLeft w:val="0"/>
      <w:marRight w:val="0"/>
      <w:marTop w:val="0"/>
      <w:marBottom w:val="0"/>
      <w:divBdr>
        <w:top w:val="none" w:sz="0" w:space="0" w:color="auto"/>
        <w:left w:val="none" w:sz="0" w:space="0" w:color="auto"/>
        <w:bottom w:val="none" w:sz="0" w:space="0" w:color="auto"/>
        <w:right w:val="none" w:sz="0" w:space="0" w:color="auto"/>
      </w:divBdr>
    </w:div>
    <w:div w:id="177503682">
      <w:bodyDiv w:val="1"/>
      <w:marLeft w:val="0"/>
      <w:marRight w:val="0"/>
      <w:marTop w:val="0"/>
      <w:marBottom w:val="0"/>
      <w:divBdr>
        <w:top w:val="none" w:sz="0" w:space="0" w:color="auto"/>
        <w:left w:val="none" w:sz="0" w:space="0" w:color="auto"/>
        <w:bottom w:val="none" w:sz="0" w:space="0" w:color="auto"/>
        <w:right w:val="none" w:sz="0" w:space="0" w:color="auto"/>
      </w:divBdr>
    </w:div>
    <w:div w:id="441538785">
      <w:bodyDiv w:val="1"/>
      <w:marLeft w:val="0"/>
      <w:marRight w:val="0"/>
      <w:marTop w:val="0"/>
      <w:marBottom w:val="0"/>
      <w:divBdr>
        <w:top w:val="none" w:sz="0" w:space="0" w:color="auto"/>
        <w:left w:val="none" w:sz="0" w:space="0" w:color="auto"/>
        <w:bottom w:val="none" w:sz="0" w:space="0" w:color="auto"/>
        <w:right w:val="none" w:sz="0" w:space="0" w:color="auto"/>
      </w:divBdr>
    </w:div>
    <w:div w:id="471749461">
      <w:bodyDiv w:val="1"/>
      <w:marLeft w:val="0"/>
      <w:marRight w:val="0"/>
      <w:marTop w:val="0"/>
      <w:marBottom w:val="0"/>
      <w:divBdr>
        <w:top w:val="none" w:sz="0" w:space="0" w:color="auto"/>
        <w:left w:val="none" w:sz="0" w:space="0" w:color="auto"/>
        <w:bottom w:val="none" w:sz="0" w:space="0" w:color="auto"/>
        <w:right w:val="none" w:sz="0" w:space="0" w:color="auto"/>
      </w:divBdr>
    </w:div>
    <w:div w:id="791630764">
      <w:bodyDiv w:val="1"/>
      <w:marLeft w:val="0"/>
      <w:marRight w:val="0"/>
      <w:marTop w:val="0"/>
      <w:marBottom w:val="0"/>
      <w:divBdr>
        <w:top w:val="none" w:sz="0" w:space="0" w:color="auto"/>
        <w:left w:val="none" w:sz="0" w:space="0" w:color="auto"/>
        <w:bottom w:val="none" w:sz="0" w:space="0" w:color="auto"/>
        <w:right w:val="none" w:sz="0" w:space="0" w:color="auto"/>
      </w:divBdr>
    </w:div>
    <w:div w:id="1003822880">
      <w:bodyDiv w:val="1"/>
      <w:marLeft w:val="0"/>
      <w:marRight w:val="0"/>
      <w:marTop w:val="0"/>
      <w:marBottom w:val="0"/>
      <w:divBdr>
        <w:top w:val="none" w:sz="0" w:space="0" w:color="auto"/>
        <w:left w:val="none" w:sz="0" w:space="0" w:color="auto"/>
        <w:bottom w:val="none" w:sz="0" w:space="0" w:color="auto"/>
        <w:right w:val="none" w:sz="0" w:space="0" w:color="auto"/>
      </w:divBdr>
    </w:div>
    <w:div w:id="1211382844">
      <w:bodyDiv w:val="1"/>
      <w:marLeft w:val="0"/>
      <w:marRight w:val="0"/>
      <w:marTop w:val="0"/>
      <w:marBottom w:val="0"/>
      <w:divBdr>
        <w:top w:val="none" w:sz="0" w:space="0" w:color="auto"/>
        <w:left w:val="none" w:sz="0" w:space="0" w:color="auto"/>
        <w:bottom w:val="none" w:sz="0" w:space="0" w:color="auto"/>
        <w:right w:val="none" w:sz="0" w:space="0" w:color="auto"/>
      </w:divBdr>
    </w:div>
    <w:div w:id="1529488409">
      <w:bodyDiv w:val="1"/>
      <w:marLeft w:val="0"/>
      <w:marRight w:val="0"/>
      <w:marTop w:val="0"/>
      <w:marBottom w:val="0"/>
      <w:divBdr>
        <w:top w:val="none" w:sz="0" w:space="0" w:color="auto"/>
        <w:left w:val="none" w:sz="0" w:space="0" w:color="auto"/>
        <w:bottom w:val="none" w:sz="0" w:space="0" w:color="auto"/>
        <w:right w:val="none" w:sz="0" w:space="0" w:color="auto"/>
      </w:divBdr>
    </w:div>
    <w:div w:id="1854101299">
      <w:bodyDiv w:val="1"/>
      <w:marLeft w:val="0"/>
      <w:marRight w:val="0"/>
      <w:marTop w:val="0"/>
      <w:marBottom w:val="0"/>
      <w:divBdr>
        <w:top w:val="none" w:sz="0" w:space="0" w:color="auto"/>
        <w:left w:val="none" w:sz="0" w:space="0" w:color="auto"/>
        <w:bottom w:val="none" w:sz="0" w:space="0" w:color="auto"/>
        <w:right w:val="none" w:sz="0" w:space="0" w:color="auto"/>
      </w:divBdr>
    </w:div>
    <w:div w:id="1937210423">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2018342147">
      <w:bodyDiv w:val="1"/>
      <w:marLeft w:val="0"/>
      <w:marRight w:val="0"/>
      <w:marTop w:val="0"/>
      <w:marBottom w:val="0"/>
      <w:divBdr>
        <w:top w:val="none" w:sz="0" w:space="0" w:color="auto"/>
        <w:left w:val="none" w:sz="0" w:space="0" w:color="auto"/>
        <w:bottom w:val="none" w:sz="0" w:space="0" w:color="auto"/>
        <w:right w:val="none" w:sz="0" w:space="0" w:color="auto"/>
      </w:divBdr>
    </w:div>
    <w:div w:id="2063869253">
      <w:bodyDiv w:val="1"/>
      <w:marLeft w:val="0"/>
      <w:marRight w:val="0"/>
      <w:marTop w:val="0"/>
      <w:marBottom w:val="0"/>
      <w:divBdr>
        <w:top w:val="none" w:sz="0" w:space="0" w:color="auto"/>
        <w:left w:val="none" w:sz="0" w:space="0" w:color="auto"/>
        <w:bottom w:val="none" w:sz="0" w:space="0" w:color="auto"/>
        <w:right w:val="none" w:sz="0" w:space="0" w:color="auto"/>
      </w:divBdr>
    </w:div>
    <w:div w:id="20666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dp.org/content/undp/en/home/presscenter/pressreleases/2015/09/03/global-goals-campaign-201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sustainabledevelopment/es/economic-growth/" TargetMode="External"/><Relationship Id="rId3" Type="http://schemas.openxmlformats.org/officeDocument/2006/relationships/hyperlink" Target="https://citiesprogramme.org/wp-content/uploads/2016/01/Guia-del-Pacto-Mundial-para-Gobiernos-Locales-Convirtiendo-el-Pacto-Mundial-en-fuente-de-Buenas-Pr--cticas-web1.pdf" TargetMode="External"/><Relationship Id="rId7" Type="http://schemas.openxmlformats.org/officeDocument/2006/relationships/hyperlink" Target="http://www.corteconstitucional.gov.co/relatoria/2010/T-247-10.htm" TargetMode="External"/><Relationship Id="rId2" Type="http://schemas.openxmlformats.org/officeDocument/2006/relationships/hyperlink" Target="https://eur-lex.europa.eu/legal-content/ES/TXT/PDF/?uri=CELEX:52001DC0366&amp;from=ES" TargetMode="External"/><Relationship Id="rId1" Type="http://schemas.openxmlformats.org/officeDocument/2006/relationships/hyperlink" Target="https://www.unido.org/sites/default/files/2010-11/GC_Brochure_Spanish_0.PDF" TargetMode="External"/><Relationship Id="rId6" Type="http://schemas.openxmlformats.org/officeDocument/2006/relationships/hyperlink" Target="http://americalatinagenera.org/newsite/images/U4ISO26000.pdf" TargetMode="External"/><Relationship Id="rId5" Type="http://schemas.openxmlformats.org/officeDocument/2006/relationships/hyperlink" Target="https://tienda.icontec.org/wp-content/uploads/pdfs/GTC180.pdf" TargetMode="External"/><Relationship Id="rId4" Type="http://schemas.openxmlformats.org/officeDocument/2006/relationships/hyperlink" Target="http://www.co.undp.org/content/colombia/es/home/sustainable-development-go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08CB-E566-4BBF-A567-B245F19B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4013</Words>
  <Characters>22072</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 Karime Florez Vergel</dc:creator>
  <cp:lastModifiedBy>Jazmin Karime Florez Vergel</cp:lastModifiedBy>
  <cp:revision>2</cp:revision>
  <cp:lastPrinted>2019-07-23T13:24:00Z</cp:lastPrinted>
  <dcterms:created xsi:type="dcterms:W3CDTF">2020-02-18T19:23:00Z</dcterms:created>
  <dcterms:modified xsi:type="dcterms:W3CDTF">2020-02-18T19:23:00Z</dcterms:modified>
</cp:coreProperties>
</file>